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D3" w:rsidRPr="002213AD" w:rsidRDefault="00DD2AD3" w:rsidP="00DD2AD3">
      <w:pPr>
        <w:pStyle w:val="GvdeMetni"/>
        <w:rPr>
          <w:sz w:val="20"/>
        </w:rPr>
      </w:pPr>
      <w:r w:rsidRPr="002213AD">
        <w:rPr>
          <w:sz w:val="20"/>
        </w:rPr>
        <w:t xml:space="preserve">                  </w:t>
      </w:r>
      <w:r w:rsidRPr="002213AD">
        <w:rPr>
          <w:noProof/>
          <w:color w:val="0000FF"/>
          <w:lang w:eastAsia="tr-TR"/>
        </w:rPr>
        <w:drawing>
          <wp:inline distT="0" distB="0" distL="0" distR="0" wp14:anchorId="51057EEB" wp14:editId="5AE2E30C">
            <wp:extent cx="1517556" cy="1431235"/>
            <wp:effectExtent l="0" t="0" r="6985" b="0"/>
            <wp:docPr id="1" name="Resim 1" descr="https://www.tobb.org.tr/Resimler/Logolar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bb.org.tr/Resimler/Logolar/logot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736" cy="150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3AD">
        <w:rPr>
          <w:sz w:val="20"/>
        </w:rPr>
        <w:t xml:space="preserve">                  </w:t>
      </w:r>
      <w:r w:rsidRPr="002213AD">
        <w:rPr>
          <w:noProof/>
          <w:sz w:val="20"/>
          <w:lang w:eastAsia="tr-TR"/>
        </w:rPr>
        <w:drawing>
          <wp:inline distT="0" distB="0" distL="0" distR="0" wp14:anchorId="10E33753" wp14:editId="77CE2C69">
            <wp:extent cx="2376190" cy="1398546"/>
            <wp:effectExtent l="0" t="0" r="508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oziti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510" cy="141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3AD">
        <w:rPr>
          <w:sz w:val="20"/>
        </w:rPr>
        <w:t xml:space="preserve">                      </w:t>
      </w:r>
    </w:p>
    <w:p w:rsidR="00DD2AD3" w:rsidRPr="002213AD" w:rsidRDefault="00DD2AD3" w:rsidP="00DD2AD3">
      <w:pPr>
        <w:pStyle w:val="GvdeMetni"/>
        <w:rPr>
          <w:b/>
          <w:sz w:val="20"/>
        </w:rPr>
      </w:pPr>
    </w:p>
    <w:p w:rsidR="00DD2AD3" w:rsidRPr="002213AD" w:rsidRDefault="00DD2AD3" w:rsidP="00E517B9">
      <w:pPr>
        <w:pStyle w:val="GvdeMetni"/>
        <w:rPr>
          <w:b/>
          <w:sz w:val="20"/>
        </w:rPr>
      </w:pPr>
    </w:p>
    <w:p w:rsidR="00DD2AD3" w:rsidRPr="002213AD" w:rsidRDefault="00DD2AD3" w:rsidP="00E517B9">
      <w:pPr>
        <w:pStyle w:val="GvdeMetni"/>
        <w:ind w:right="320"/>
        <w:jc w:val="both"/>
      </w:pPr>
      <w:r w:rsidRPr="002213AD">
        <w:t>TOBB Türkiye 100’e katılmak isteyen ve aşağıdaki koşulları sağlay</w:t>
      </w:r>
      <w:r w:rsidR="002213AD">
        <w:t xml:space="preserve">an şirketlerin başvuruları kabul </w:t>
      </w:r>
      <w:r w:rsidRPr="002213AD">
        <w:t>edilecektir.</w:t>
      </w:r>
    </w:p>
    <w:p w:rsidR="002213AD" w:rsidRDefault="002213AD" w:rsidP="00E517B9">
      <w:pPr>
        <w:pStyle w:val="GvdeMetni"/>
        <w:ind w:left="474" w:right="320"/>
        <w:jc w:val="both"/>
      </w:pP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96" w:right="320"/>
        <w:jc w:val="both"/>
      </w:pPr>
      <w:r w:rsidRPr="002213AD">
        <w:t>31 Aralık 2020 ve öncesinde kurulan,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96" w:right="320"/>
        <w:jc w:val="both"/>
      </w:pPr>
      <w:r w:rsidRPr="002213AD">
        <w:t>2021 yılında en az 2 milyon TL satış gelirine sahip,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96" w:right="320"/>
        <w:jc w:val="both"/>
      </w:pPr>
      <w:r w:rsidRPr="002213AD">
        <w:t>2023 yılında en az 5 milyon TL satış gelirine sahip,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96" w:right="320"/>
        <w:jc w:val="both"/>
      </w:pPr>
      <w:r w:rsidRPr="002213AD">
        <w:t>2021 - 2023 döneminde satış gelirlerini en az yüzde 10 oranında arttıran,</w:t>
      </w:r>
    </w:p>
    <w:p w:rsidR="00DD2AD3" w:rsidRDefault="00DD2AD3" w:rsidP="00E517B9">
      <w:pPr>
        <w:pStyle w:val="GvdeMetni"/>
        <w:numPr>
          <w:ilvl w:val="0"/>
          <w:numId w:val="2"/>
        </w:numPr>
        <w:ind w:left="396" w:right="320"/>
        <w:jc w:val="both"/>
      </w:pPr>
      <w:r w:rsidRPr="002213AD">
        <w:t>2020 döneminde en az 10 çalışana sahip şirketler başvuru yapabilir.</w:t>
      </w:r>
    </w:p>
    <w:p w:rsidR="00E517B9" w:rsidRPr="002213AD" w:rsidRDefault="00E517B9" w:rsidP="00E517B9">
      <w:pPr>
        <w:pStyle w:val="GvdeMetni"/>
        <w:ind w:left="720" w:right="320"/>
        <w:jc w:val="both"/>
      </w:pPr>
    </w:p>
    <w:p w:rsidR="003D282B" w:rsidRDefault="00DD2AD3" w:rsidP="00E517B9">
      <w:pPr>
        <w:pStyle w:val="GvdeMetni"/>
        <w:ind w:right="320"/>
        <w:jc w:val="both"/>
      </w:pPr>
      <w:r w:rsidRPr="002213AD">
        <w:t>Ayrıca;</w:t>
      </w:r>
    </w:p>
    <w:p w:rsidR="00E517B9" w:rsidRPr="002213AD" w:rsidRDefault="00E517B9" w:rsidP="00E517B9">
      <w:pPr>
        <w:pStyle w:val="GvdeMetni"/>
        <w:ind w:right="320"/>
        <w:jc w:val="both"/>
      </w:pPr>
    </w:p>
    <w:p w:rsidR="003D282B" w:rsidRPr="002213AD" w:rsidRDefault="003D282B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Başvuracak şirketlerin merkezlerinin Türkiye’de bulunması gereklidir.</w:t>
      </w:r>
    </w:p>
    <w:p w:rsidR="003D282B" w:rsidRPr="002213AD" w:rsidRDefault="003D282B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Kamu ortaklığı ve/veya halka açık olan şirketlerin başvuruları geçerli sayılmaz.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Yurtdışı merkezli bir şirketin Türkiye şubesinin başvurusu geçerli sayılmaz.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Hisselerinin y</w:t>
      </w:r>
      <w:bookmarkStart w:id="0" w:name="_GoBack"/>
      <w:bookmarkEnd w:id="0"/>
      <w:r w:rsidRPr="002213AD">
        <w:t>üzde 51’inden fazlası halka açık başka bir şirkete ya da bir kamu şirketine ait olan şirketlerin başvuruları geçerli sayılmaz.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Kar amacı gütmeyen şirketlerin başvuruları geçerli sayılmaz.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proofErr w:type="spellStart"/>
      <w:r w:rsidRPr="002213AD">
        <w:t>Franchise</w:t>
      </w:r>
      <w:proofErr w:type="spellEnd"/>
      <w:r w:rsidRPr="002213AD">
        <w:t xml:space="preserve"> işletmelerinin başvuruları geçerli sayılmaz.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Otomobil galerileri, kuyumcular, döviz şirketleri, bankalar, enerji dağıtım şirketleri ve elektrik, gaz, akaryakıt ve su sağlayıcıların başvuruları geçerli sayılmaz.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>Holdinglerin başvuruları geçerli sayılmaz; bir holdingin çatısı altındaki şirketler başvurabilir.</w:t>
      </w:r>
    </w:p>
    <w:p w:rsidR="00DD2AD3" w:rsidRPr="002213AD" w:rsidRDefault="00DD2AD3" w:rsidP="00E517B9">
      <w:pPr>
        <w:pStyle w:val="GvdeMetni"/>
        <w:numPr>
          <w:ilvl w:val="0"/>
          <w:numId w:val="2"/>
        </w:numPr>
        <w:ind w:left="360" w:right="320"/>
        <w:jc w:val="both"/>
      </w:pPr>
      <w:r w:rsidRPr="002213AD">
        <w:t xml:space="preserve">Ortakları arasında Türkiye dışındaki ülkelerin vatandaşları (gerçek ve tüzel kişiler) olan </w:t>
      </w:r>
      <w:r w:rsidR="001C4E55" w:rsidRPr="002213AD">
        <w:t xml:space="preserve">şirketler </w:t>
      </w:r>
      <w:r w:rsidRPr="002213AD">
        <w:t>başvurabilir.</w:t>
      </w:r>
    </w:p>
    <w:p w:rsidR="00DD2AD3" w:rsidRPr="002213AD" w:rsidRDefault="00DD2AD3" w:rsidP="00E517B9">
      <w:pPr>
        <w:pStyle w:val="GvdeMetni"/>
        <w:spacing w:before="10"/>
        <w:rPr>
          <w:sz w:val="16"/>
        </w:rPr>
      </w:pPr>
    </w:p>
    <w:p w:rsidR="00DD2AD3" w:rsidRPr="002213AD" w:rsidRDefault="002213AD" w:rsidP="00E517B9">
      <w:pPr>
        <w:pStyle w:val="GvdeMetni"/>
        <w:ind w:right="320"/>
        <w:jc w:val="both"/>
      </w:pPr>
      <w:r w:rsidRPr="002213AD"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7456B0F4" wp14:editId="3CCF7F6B">
            <wp:simplePos x="0" y="0"/>
            <wp:positionH relativeFrom="page">
              <wp:posOffset>4025217</wp:posOffset>
            </wp:positionH>
            <wp:positionV relativeFrom="paragraph">
              <wp:posOffset>2036265</wp:posOffset>
            </wp:positionV>
            <wp:extent cx="1359535" cy="436880"/>
            <wp:effectExtent l="0" t="0" r="0" b="1270"/>
            <wp:wrapTopAndBottom/>
            <wp:docPr id="1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AD3" w:rsidRPr="002213AD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F581298" wp14:editId="70CE528B">
            <wp:simplePos x="0" y="0"/>
            <wp:positionH relativeFrom="margin">
              <wp:posOffset>1080770</wp:posOffset>
            </wp:positionH>
            <wp:positionV relativeFrom="margin">
              <wp:posOffset>8297158</wp:posOffset>
            </wp:positionV>
            <wp:extent cx="1502410" cy="396240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.Y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AD3" w:rsidRPr="002213AD">
        <w:t xml:space="preserve">Detaylı bilgiye ve başvuru sayfasına </w:t>
      </w:r>
      <w:hyperlink w:history="1">
        <w:r w:rsidR="00E517B9" w:rsidRPr="00533F10">
          <w:rPr>
            <w:rStyle w:val="Kpr"/>
          </w:rPr>
          <w:t xml:space="preserve">https://turkiye100.tobb.org.tr </w:t>
        </w:r>
      </w:hyperlink>
      <w:r w:rsidR="00DD2AD3" w:rsidRPr="002213AD">
        <w:t>adresinden ulaşılabilir.</w:t>
      </w:r>
    </w:p>
    <w:sectPr w:rsidR="00DD2AD3" w:rsidRPr="0022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E7D19"/>
    <w:multiLevelType w:val="hybridMultilevel"/>
    <w:tmpl w:val="3CC490CA"/>
    <w:lvl w:ilvl="0" w:tplc="041F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" w15:restartNumberingAfterBreak="0">
    <w:nsid w:val="59DF1A39"/>
    <w:multiLevelType w:val="hybridMultilevel"/>
    <w:tmpl w:val="A5CC1444"/>
    <w:lvl w:ilvl="0" w:tplc="7AEC2E68">
      <w:numFmt w:val="bullet"/>
      <w:lvlText w:val="•"/>
      <w:lvlJc w:val="left"/>
      <w:pPr>
        <w:ind w:left="1430" w:hanging="72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DBD63C04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B68A7E42">
      <w:numFmt w:val="bullet"/>
      <w:lvlText w:val="•"/>
      <w:lvlJc w:val="left"/>
      <w:pPr>
        <w:ind w:left="3346" w:hanging="360"/>
      </w:pPr>
      <w:rPr>
        <w:rFonts w:hint="default"/>
        <w:lang w:val="tr-TR" w:eastAsia="en-US" w:bidi="ar-SA"/>
      </w:rPr>
    </w:lvl>
    <w:lvl w:ilvl="3" w:tplc="2BA4BE02">
      <w:numFmt w:val="bullet"/>
      <w:lvlText w:val="•"/>
      <w:lvlJc w:val="left"/>
      <w:pPr>
        <w:ind w:left="4302" w:hanging="360"/>
      </w:pPr>
      <w:rPr>
        <w:rFonts w:hint="default"/>
        <w:lang w:val="tr-TR" w:eastAsia="en-US" w:bidi="ar-SA"/>
      </w:rPr>
    </w:lvl>
    <w:lvl w:ilvl="4" w:tplc="F1AA8E12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5" w:tplc="C40C92EA">
      <w:numFmt w:val="bullet"/>
      <w:lvlText w:val="•"/>
      <w:lvlJc w:val="left"/>
      <w:pPr>
        <w:ind w:left="6216" w:hanging="360"/>
      </w:pPr>
      <w:rPr>
        <w:rFonts w:hint="default"/>
        <w:lang w:val="tr-TR" w:eastAsia="en-US" w:bidi="ar-SA"/>
      </w:rPr>
    </w:lvl>
    <w:lvl w:ilvl="6" w:tplc="8DC2F06C"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  <w:lvl w:ilvl="7" w:tplc="DF925EE6">
      <w:numFmt w:val="bullet"/>
      <w:lvlText w:val="•"/>
      <w:lvlJc w:val="left"/>
      <w:pPr>
        <w:ind w:left="8129" w:hanging="360"/>
      </w:pPr>
      <w:rPr>
        <w:rFonts w:hint="default"/>
        <w:lang w:val="tr-TR" w:eastAsia="en-US" w:bidi="ar-SA"/>
      </w:rPr>
    </w:lvl>
    <w:lvl w:ilvl="8" w:tplc="2C8ED042">
      <w:numFmt w:val="bullet"/>
      <w:lvlText w:val="•"/>
      <w:lvlJc w:val="left"/>
      <w:pPr>
        <w:ind w:left="9085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D3"/>
    <w:rsid w:val="001C4E55"/>
    <w:rsid w:val="002213AD"/>
    <w:rsid w:val="003D282B"/>
    <w:rsid w:val="004C081A"/>
    <w:rsid w:val="00DD2AD3"/>
    <w:rsid w:val="00E517B9"/>
    <w:rsid w:val="00F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85DF"/>
  <w15:chartTrackingRefBased/>
  <w15:docId w15:val="{E92009D1-148D-45D0-B0F3-8EEFB9BD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2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D2AD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2AD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DD2AD3"/>
    <w:pPr>
      <w:spacing w:before="40"/>
      <w:ind w:left="1976" w:hanging="361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E5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ABDÜLAZİZ DAMRA ERTAŞ</dc:creator>
  <cp:keywords/>
  <dc:description/>
  <cp:lastModifiedBy>ABDÜLAZİZ DAMRA ERTAŞ</cp:lastModifiedBy>
  <cp:revision>5</cp:revision>
  <dcterms:created xsi:type="dcterms:W3CDTF">2024-07-30T06:45:00Z</dcterms:created>
  <dcterms:modified xsi:type="dcterms:W3CDTF">2024-07-31T11:35:00Z</dcterms:modified>
</cp:coreProperties>
</file>