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27D" w:rsidRPr="00FE04D5" w:rsidRDefault="002F327D" w:rsidP="002F327D">
      <w:pPr>
        <w:pStyle w:val="NormalWeb"/>
        <w:jc w:val="both"/>
      </w:pPr>
      <w:r w:rsidRPr="00FE04D5">
        <w:rPr>
          <w:rStyle w:val="Gl"/>
        </w:rPr>
        <w:t>ANONİM ŞİRKET ESAS SÖZLEŞMESİ</w:t>
      </w:r>
    </w:p>
    <w:p w:rsidR="002F327D" w:rsidRPr="00FE04D5" w:rsidRDefault="002F327D" w:rsidP="002F327D">
      <w:pPr>
        <w:pStyle w:val="NormalWeb"/>
        <w:jc w:val="both"/>
        <w:rPr>
          <w:b/>
          <w:u w:val="single"/>
        </w:rPr>
      </w:pPr>
      <w:r w:rsidRPr="00FE04D5">
        <w:rPr>
          <w:b/>
          <w:u w:val="single"/>
        </w:rPr>
        <w:t>KURULUŞ:</w:t>
      </w:r>
    </w:p>
    <w:p w:rsidR="002F327D" w:rsidRPr="00FE04D5" w:rsidRDefault="002F327D" w:rsidP="002F327D">
      <w:pPr>
        <w:pStyle w:val="NormalWeb"/>
        <w:jc w:val="both"/>
      </w:pPr>
      <w:r w:rsidRPr="00FE04D5">
        <w:rPr>
          <w:b/>
          <w:u w:val="single"/>
        </w:rPr>
        <w:t>Madde 1-</w:t>
      </w:r>
      <w:r w:rsidRPr="00FE04D5">
        <w:rPr>
          <w:u w:val="single"/>
        </w:rPr>
        <w:t xml:space="preserve"> </w:t>
      </w:r>
      <w:r w:rsidRPr="00FE04D5">
        <w:t>Aşağıda adları, soyadları, yerleşim yerleri ve uyrukları yazılı kurucular</w:t>
      </w:r>
      <w:r w:rsidRPr="00FE04D5">
        <w:rPr>
          <w:b/>
          <w:bCs/>
        </w:rPr>
        <w:t xml:space="preserve"> </w:t>
      </w:r>
      <w:r w:rsidRPr="00FE04D5">
        <w:t>arasında</w:t>
      </w:r>
      <w:r w:rsidRPr="00FE04D5">
        <w:rPr>
          <w:b/>
          <w:bCs/>
        </w:rPr>
        <w:t xml:space="preserve"> </w:t>
      </w:r>
      <w:r w:rsidRPr="00FE04D5">
        <w:rPr>
          <w:bCs/>
        </w:rPr>
        <w:t xml:space="preserve">bir </w:t>
      </w:r>
      <w:r w:rsidRPr="00FE04D5">
        <w:t>anonim şirket kurulmuştur.</w:t>
      </w:r>
    </w:p>
    <w:tbl>
      <w:tblPr>
        <w:tblW w:w="8757" w:type="dxa"/>
        <w:tblCellSpacing w:w="0" w:type="dxa"/>
        <w:tblLayout w:type="fixed"/>
        <w:tblCellMar>
          <w:top w:w="105" w:type="dxa"/>
          <w:left w:w="105" w:type="dxa"/>
          <w:bottom w:w="105" w:type="dxa"/>
          <w:right w:w="105" w:type="dxa"/>
        </w:tblCellMar>
        <w:tblLook w:val="0000" w:firstRow="0" w:lastRow="0" w:firstColumn="0" w:lastColumn="0" w:noHBand="0" w:noVBand="0"/>
      </w:tblPr>
      <w:tblGrid>
        <w:gridCol w:w="1064"/>
        <w:gridCol w:w="3151"/>
        <w:gridCol w:w="1701"/>
        <w:gridCol w:w="2841"/>
      </w:tblGrid>
      <w:tr w:rsidR="002F327D" w:rsidRPr="00FE04D5" w:rsidTr="001C4336">
        <w:trPr>
          <w:tblCellSpacing w:w="0" w:type="dxa"/>
        </w:trPr>
        <w:tc>
          <w:tcPr>
            <w:tcW w:w="608" w:type="pct"/>
            <w:shd w:val="clear" w:color="auto" w:fill="auto"/>
          </w:tcPr>
          <w:p w:rsidR="002F327D" w:rsidRPr="00FE04D5" w:rsidRDefault="002F327D" w:rsidP="001C4336">
            <w:pPr>
              <w:pStyle w:val="NormalWeb"/>
              <w:jc w:val="both"/>
              <w:rPr>
                <w:b/>
                <w:bCs/>
                <w:u w:val="single"/>
              </w:rPr>
            </w:pPr>
            <w:r w:rsidRPr="00FE04D5">
              <w:rPr>
                <w:b/>
                <w:bCs/>
                <w:u w:val="single"/>
              </w:rPr>
              <w:t xml:space="preserve">Sıra </w:t>
            </w:r>
            <w:proofErr w:type="spellStart"/>
            <w:r w:rsidRPr="00FE04D5">
              <w:rPr>
                <w:b/>
                <w:bCs/>
                <w:u w:val="single"/>
              </w:rPr>
              <w:t>no</w:t>
            </w:r>
            <w:proofErr w:type="spellEnd"/>
          </w:p>
          <w:p w:rsidR="002F327D" w:rsidRPr="00FE04D5" w:rsidRDefault="002F327D" w:rsidP="001C4336">
            <w:pPr>
              <w:pStyle w:val="NormalWeb"/>
              <w:jc w:val="both"/>
            </w:pPr>
            <w:r w:rsidRPr="00FE04D5">
              <w:rPr>
                <w:b/>
                <w:bCs/>
              </w:rPr>
              <w:t>1</w:t>
            </w:r>
          </w:p>
        </w:tc>
        <w:tc>
          <w:tcPr>
            <w:tcW w:w="1799" w:type="pct"/>
            <w:shd w:val="clear" w:color="auto" w:fill="auto"/>
          </w:tcPr>
          <w:p w:rsidR="002F327D" w:rsidRPr="00FE04D5" w:rsidRDefault="002F327D" w:rsidP="001C4336">
            <w:pPr>
              <w:pStyle w:val="NormalWeb"/>
              <w:jc w:val="both"/>
              <w:rPr>
                <w:b/>
                <w:bCs/>
              </w:rPr>
            </w:pPr>
            <w:r w:rsidRPr="00FE04D5">
              <w:rPr>
                <w:b/>
                <w:bCs/>
                <w:u w:val="single"/>
              </w:rPr>
              <w:t>Kurucunun Adı ve Soyadı</w:t>
            </w:r>
            <w:r w:rsidRPr="00FE04D5">
              <w:rPr>
                <w:b/>
                <w:bCs/>
              </w:rPr>
              <w:t xml:space="preserve"> </w:t>
            </w:r>
          </w:p>
          <w:p w:rsidR="002F327D" w:rsidRPr="00FE04D5" w:rsidRDefault="002F327D" w:rsidP="001C4336">
            <w:pPr>
              <w:pStyle w:val="NormalWeb"/>
              <w:jc w:val="both"/>
            </w:pPr>
            <w:proofErr w:type="gramStart"/>
            <w:r w:rsidRPr="00FE04D5">
              <w:rPr>
                <w:b/>
                <w:bCs/>
              </w:rPr>
              <w:t>……………………………</w:t>
            </w:r>
            <w:proofErr w:type="gramEnd"/>
          </w:p>
        </w:tc>
        <w:tc>
          <w:tcPr>
            <w:tcW w:w="971" w:type="pct"/>
            <w:shd w:val="clear" w:color="auto" w:fill="auto"/>
          </w:tcPr>
          <w:p w:rsidR="002F327D" w:rsidRPr="00FE04D5" w:rsidRDefault="002F327D" w:rsidP="001C4336">
            <w:pPr>
              <w:pStyle w:val="NormalWeb"/>
              <w:jc w:val="both"/>
              <w:rPr>
                <w:b/>
                <w:bCs/>
                <w:u w:val="single"/>
              </w:rPr>
            </w:pPr>
            <w:r w:rsidRPr="00FE04D5">
              <w:rPr>
                <w:b/>
                <w:bCs/>
                <w:u w:val="single"/>
              </w:rPr>
              <w:t>Yerleşim Yeri</w:t>
            </w:r>
          </w:p>
          <w:p w:rsidR="002F327D" w:rsidRPr="00FE04D5" w:rsidRDefault="002F327D" w:rsidP="001C4336">
            <w:pPr>
              <w:pStyle w:val="NormalWeb"/>
              <w:jc w:val="both"/>
              <w:rPr>
                <w:b/>
                <w:bCs/>
              </w:rPr>
            </w:pPr>
            <w:proofErr w:type="gramStart"/>
            <w:r>
              <w:rPr>
                <w:b/>
                <w:bCs/>
              </w:rPr>
              <w:t>……………..</w:t>
            </w:r>
            <w:proofErr w:type="gramEnd"/>
          </w:p>
          <w:p w:rsidR="002F327D" w:rsidRPr="00FE04D5" w:rsidRDefault="002F327D" w:rsidP="001C4336">
            <w:pPr>
              <w:pStyle w:val="NormalWeb"/>
              <w:jc w:val="both"/>
            </w:pPr>
          </w:p>
        </w:tc>
        <w:tc>
          <w:tcPr>
            <w:tcW w:w="1622" w:type="pct"/>
            <w:shd w:val="clear" w:color="auto" w:fill="auto"/>
          </w:tcPr>
          <w:p w:rsidR="002F327D" w:rsidRPr="00FE04D5" w:rsidRDefault="002F327D" w:rsidP="001C4336">
            <w:pPr>
              <w:pStyle w:val="NormalWeb"/>
              <w:jc w:val="both"/>
              <w:rPr>
                <w:b/>
                <w:bCs/>
                <w:u w:val="single"/>
              </w:rPr>
            </w:pPr>
            <w:proofErr w:type="gramStart"/>
            <w:r w:rsidRPr="00FE04D5">
              <w:rPr>
                <w:b/>
                <w:bCs/>
                <w:u w:val="single"/>
              </w:rPr>
              <w:t xml:space="preserve">Uyruğu </w:t>
            </w:r>
            <w:r w:rsidRPr="00FE04D5">
              <w:rPr>
                <w:b/>
                <w:bCs/>
              </w:rPr>
              <w:t xml:space="preserve">   </w:t>
            </w:r>
            <w:r w:rsidRPr="00FE04D5">
              <w:rPr>
                <w:b/>
                <w:bCs/>
                <w:u w:val="single"/>
              </w:rPr>
              <w:t>T</w:t>
            </w:r>
            <w:proofErr w:type="gramEnd"/>
            <w:r w:rsidRPr="00FE04D5">
              <w:rPr>
                <w:b/>
                <w:bCs/>
                <w:u w:val="single"/>
              </w:rPr>
              <w:t>.C. Kimlik No</w:t>
            </w:r>
          </w:p>
          <w:p w:rsidR="002F327D" w:rsidRPr="00FE04D5" w:rsidRDefault="002F327D" w:rsidP="001C4336">
            <w:pPr>
              <w:pStyle w:val="NormalWeb"/>
              <w:jc w:val="both"/>
              <w:rPr>
                <w:b/>
                <w:bCs/>
              </w:rPr>
            </w:pPr>
            <w:proofErr w:type="gramStart"/>
            <w:r w:rsidRPr="00FE04D5">
              <w:rPr>
                <w:b/>
                <w:bCs/>
              </w:rPr>
              <w:t>……….</w:t>
            </w:r>
            <w:proofErr w:type="gramEnd"/>
            <w:r w:rsidRPr="00FE04D5">
              <w:rPr>
                <w:b/>
                <w:bCs/>
              </w:rPr>
              <w:t xml:space="preserve">    </w:t>
            </w:r>
            <w:proofErr w:type="gramStart"/>
            <w:r w:rsidRPr="00FE04D5">
              <w:rPr>
                <w:b/>
                <w:bCs/>
              </w:rPr>
              <w:t>………………</w:t>
            </w:r>
            <w:proofErr w:type="gramEnd"/>
          </w:p>
          <w:p w:rsidR="002F327D" w:rsidRPr="00FE04D5" w:rsidRDefault="002F327D" w:rsidP="001C4336">
            <w:pPr>
              <w:pStyle w:val="NormalWeb"/>
              <w:jc w:val="both"/>
            </w:pPr>
          </w:p>
        </w:tc>
      </w:tr>
    </w:tbl>
    <w:p w:rsidR="002F327D" w:rsidRPr="00FE04D5" w:rsidRDefault="002F327D" w:rsidP="002F327D">
      <w:pPr>
        <w:pStyle w:val="NormalWeb"/>
        <w:jc w:val="both"/>
      </w:pPr>
      <w:proofErr w:type="gramStart"/>
      <w:r w:rsidRPr="00FE04D5">
        <w:t>(</w:t>
      </w:r>
      <w:proofErr w:type="gramEnd"/>
      <w:r w:rsidRPr="00FE04D5">
        <w:t>Özel kanunlardaki hükümler saklı kalmak kaydıyla kurucuların en az bir gerçek veya tüzel kişi olması gerekmektedir. Tüzel kişi kurucu ortakların unvanları, merkezleri ve ticaret sicili numaralarının yazılması zorunludur. Madde 338, 330</w:t>
      </w:r>
      <w:proofErr w:type="gramStart"/>
      <w:r w:rsidRPr="00FE04D5">
        <w:t>)</w:t>
      </w:r>
      <w:proofErr w:type="gramEnd"/>
      <w:r w:rsidRPr="00FE04D5">
        <w:t xml:space="preserve"> </w:t>
      </w:r>
    </w:p>
    <w:p w:rsidR="002F327D" w:rsidRPr="00FE04D5" w:rsidRDefault="002F327D" w:rsidP="002F327D">
      <w:pPr>
        <w:pStyle w:val="NormalWeb"/>
        <w:jc w:val="both"/>
        <w:rPr>
          <w:b/>
          <w:bCs/>
          <w:u w:val="single"/>
        </w:rPr>
      </w:pPr>
      <w:r>
        <w:rPr>
          <w:b/>
          <w:bCs/>
          <w:u w:val="single"/>
        </w:rPr>
        <w:t>ŞİRKETİN U</w:t>
      </w:r>
      <w:r w:rsidRPr="00FE04D5">
        <w:rPr>
          <w:b/>
          <w:bCs/>
          <w:u w:val="single"/>
        </w:rPr>
        <w:t>NVANI:</w:t>
      </w:r>
    </w:p>
    <w:p w:rsidR="002F327D" w:rsidRPr="00FE04D5" w:rsidRDefault="002F327D" w:rsidP="002F327D">
      <w:pPr>
        <w:pStyle w:val="NormalWeb"/>
        <w:jc w:val="both"/>
      </w:pPr>
      <w:r w:rsidRPr="00FE04D5">
        <w:rPr>
          <w:b/>
          <w:bCs/>
          <w:u w:val="single"/>
        </w:rPr>
        <w:t>Madde 2-</w:t>
      </w:r>
      <w:r>
        <w:t xml:space="preserve"> Şirketin u</w:t>
      </w:r>
      <w:r w:rsidRPr="00FE04D5">
        <w:t xml:space="preserve">nvanı </w:t>
      </w:r>
      <w:proofErr w:type="gramStart"/>
      <w:r w:rsidRPr="00FE04D5">
        <w:t>...................................................</w:t>
      </w:r>
      <w:proofErr w:type="gramEnd"/>
      <w:r w:rsidRPr="00FE04D5">
        <w:t>Anonim Şirketidir.</w:t>
      </w:r>
    </w:p>
    <w:p w:rsidR="002F327D" w:rsidRPr="00FE04D5" w:rsidRDefault="002F327D" w:rsidP="002F327D">
      <w:pPr>
        <w:pStyle w:val="NormalWeb"/>
        <w:jc w:val="both"/>
      </w:pPr>
      <w:proofErr w:type="gramStart"/>
      <w:r w:rsidRPr="00FE04D5">
        <w:t>(</w:t>
      </w:r>
      <w:proofErr w:type="gramEnd"/>
      <w:r w:rsidRPr="00FE04D5">
        <w:t>İşletme konusunun ticaret unvanında gösterilmesi zorunludur. Madde 43</w:t>
      </w:r>
      <w:proofErr w:type="gramStart"/>
      <w:r w:rsidRPr="00FE04D5">
        <w:t>)</w:t>
      </w:r>
      <w:proofErr w:type="gramEnd"/>
    </w:p>
    <w:p w:rsidR="002F327D" w:rsidRPr="00FE04D5" w:rsidRDefault="002F327D" w:rsidP="002F327D">
      <w:pPr>
        <w:pStyle w:val="NormalWeb"/>
        <w:jc w:val="both"/>
        <w:rPr>
          <w:b/>
          <w:bCs/>
          <w:u w:val="single"/>
        </w:rPr>
      </w:pPr>
      <w:r w:rsidRPr="00FE04D5">
        <w:rPr>
          <w:b/>
          <w:bCs/>
          <w:u w:val="single"/>
        </w:rPr>
        <w:t>AMAÇ VE KONU</w:t>
      </w:r>
    </w:p>
    <w:p w:rsidR="002F327D" w:rsidRPr="00FE04D5" w:rsidRDefault="002F327D" w:rsidP="002F327D">
      <w:pPr>
        <w:pStyle w:val="NormalWeb"/>
        <w:jc w:val="both"/>
        <w:rPr>
          <w:b/>
          <w:bCs/>
        </w:rPr>
      </w:pPr>
      <w:r w:rsidRPr="00FE04D5">
        <w:rPr>
          <w:b/>
          <w:bCs/>
          <w:u w:val="single"/>
        </w:rPr>
        <w:t>Madde 3-</w:t>
      </w:r>
      <w:r w:rsidRPr="00FE04D5">
        <w:t xml:space="preserve">Şirketin amaç ve konusu başlıca şunlardır: </w:t>
      </w:r>
    </w:p>
    <w:p w:rsidR="002F327D" w:rsidRPr="00FE04D5" w:rsidRDefault="002F327D" w:rsidP="002F327D">
      <w:pPr>
        <w:spacing w:before="100" w:beforeAutospacing="1" w:after="100" w:afterAutospacing="1"/>
        <w:jc w:val="both"/>
        <w:rPr>
          <w:sz w:val="24"/>
          <w:szCs w:val="24"/>
        </w:rPr>
      </w:pPr>
      <w:proofErr w:type="gramStart"/>
      <w:r w:rsidRPr="00FE04D5">
        <w:rPr>
          <w:sz w:val="24"/>
          <w:szCs w:val="24"/>
        </w:rPr>
        <w:t>a</w:t>
      </w:r>
      <w:proofErr w:type="gramEnd"/>
      <w:r w:rsidRPr="00FE04D5">
        <w:rPr>
          <w:sz w:val="24"/>
          <w:szCs w:val="24"/>
        </w:rPr>
        <w:t>.</w:t>
      </w:r>
    </w:p>
    <w:p w:rsidR="002F327D" w:rsidRPr="00FE04D5" w:rsidRDefault="002F327D" w:rsidP="002F327D">
      <w:pPr>
        <w:spacing w:before="100" w:beforeAutospacing="1" w:after="100" w:afterAutospacing="1"/>
        <w:jc w:val="both"/>
        <w:rPr>
          <w:sz w:val="24"/>
          <w:szCs w:val="24"/>
        </w:rPr>
      </w:pPr>
      <w:proofErr w:type="gramStart"/>
      <w:r w:rsidRPr="00FE04D5">
        <w:rPr>
          <w:sz w:val="24"/>
          <w:szCs w:val="24"/>
        </w:rPr>
        <w:t>b</w:t>
      </w:r>
      <w:proofErr w:type="gramEnd"/>
      <w:r w:rsidRPr="00FE04D5">
        <w:rPr>
          <w:sz w:val="24"/>
          <w:szCs w:val="24"/>
        </w:rPr>
        <w:t>.</w:t>
      </w:r>
    </w:p>
    <w:p w:rsidR="002F327D" w:rsidRPr="00FE04D5" w:rsidRDefault="002F327D" w:rsidP="002F327D">
      <w:pPr>
        <w:spacing w:before="100" w:beforeAutospacing="1" w:after="100" w:afterAutospacing="1"/>
        <w:jc w:val="both"/>
        <w:rPr>
          <w:sz w:val="24"/>
          <w:szCs w:val="24"/>
        </w:rPr>
      </w:pPr>
      <w:proofErr w:type="gramStart"/>
      <w:r w:rsidRPr="00FE04D5">
        <w:rPr>
          <w:sz w:val="24"/>
          <w:szCs w:val="24"/>
        </w:rPr>
        <w:t>(</w:t>
      </w:r>
      <w:proofErr w:type="gramEnd"/>
      <w:r w:rsidRPr="00FE04D5">
        <w:rPr>
          <w:sz w:val="24"/>
          <w:szCs w:val="24"/>
        </w:rPr>
        <w:t>Şirketin işletme konusunun esas noktaları belirtilmeli ve tanımlanmalıdır. Anonim şirketler, kanunen yasaklanmamış her türlü ekonomik amaç ve konular için kurulabilir. Madde 339, 331</w:t>
      </w:r>
      <w:proofErr w:type="gramStart"/>
      <w:r w:rsidRPr="00FE04D5">
        <w:rPr>
          <w:sz w:val="24"/>
          <w:szCs w:val="24"/>
        </w:rPr>
        <w:t>)</w:t>
      </w:r>
      <w:proofErr w:type="gramEnd"/>
    </w:p>
    <w:p w:rsidR="002F327D" w:rsidRPr="00FE04D5" w:rsidRDefault="002F327D" w:rsidP="002F327D">
      <w:pPr>
        <w:pStyle w:val="NormalWeb"/>
        <w:jc w:val="both"/>
        <w:rPr>
          <w:b/>
          <w:bCs/>
          <w:u w:val="single"/>
        </w:rPr>
      </w:pPr>
      <w:r w:rsidRPr="00FE04D5">
        <w:rPr>
          <w:b/>
          <w:bCs/>
          <w:u w:val="single"/>
        </w:rPr>
        <w:t>ŞİRKETİN MERKEZİ</w:t>
      </w:r>
    </w:p>
    <w:p w:rsidR="002F327D" w:rsidRPr="00FE04D5" w:rsidRDefault="002F327D" w:rsidP="002F327D">
      <w:pPr>
        <w:pStyle w:val="NormalWeb"/>
        <w:jc w:val="both"/>
        <w:rPr>
          <w:b/>
          <w:bCs/>
          <w:u w:val="single"/>
        </w:rPr>
      </w:pPr>
      <w:r w:rsidRPr="00FE04D5">
        <w:rPr>
          <w:b/>
          <w:bCs/>
          <w:u w:val="single"/>
        </w:rPr>
        <w:t>MERKEZ:</w:t>
      </w:r>
    </w:p>
    <w:p w:rsidR="002F327D" w:rsidRDefault="002F327D" w:rsidP="002F327D">
      <w:pPr>
        <w:pStyle w:val="NormalWeb"/>
        <w:jc w:val="both"/>
      </w:pPr>
      <w:r w:rsidRPr="00FE04D5">
        <w:rPr>
          <w:b/>
          <w:bCs/>
          <w:u w:val="single"/>
        </w:rPr>
        <w:t xml:space="preserve">Madde 4: </w:t>
      </w:r>
      <w:r w:rsidRPr="00FE04D5">
        <w:t>“ Şirketin merkezi .......................................................................’</w:t>
      </w:r>
      <w:proofErr w:type="gramStart"/>
      <w:r w:rsidRPr="00FE04D5">
        <w:t>dır</w:t>
      </w:r>
      <w:proofErr w:type="gramEnd"/>
      <w:r w:rsidRPr="00FE04D5">
        <w:t xml:space="preserve">. Adresi </w:t>
      </w:r>
      <w:proofErr w:type="gramStart"/>
      <w:r w:rsidRPr="00FE04D5">
        <w:t>.....</w:t>
      </w:r>
      <w:r>
        <w:t>...............................</w:t>
      </w:r>
      <w:r w:rsidRPr="00FE04D5">
        <w:t>.................................................</w:t>
      </w:r>
      <w:proofErr w:type="gramEnd"/>
      <w:r w:rsidRPr="00FE04D5">
        <w:t>dir. Adres değişikliğinde yeni adres, ticaret siciline tescil ve Türkiye ticaret Sicili Gazetesi’nde ilan ettirilir. Tescil ve ilan edilmiş adrese yapılan tebligat şirkete yapılmış sayılır. Tescil ve ilan edilmiş adresinden ayrılmış olmasına rağmen, yeni adresini süresi içinde tescil ettirmemiş şirket için</w:t>
      </w:r>
      <w:r>
        <w:t xml:space="preserve"> </w:t>
      </w:r>
      <w:r w:rsidRPr="00FE04D5">
        <w:t>bu durum fesih sebebi sayılır.</w:t>
      </w:r>
    </w:p>
    <w:p w:rsidR="002F327D" w:rsidRPr="00FE04D5" w:rsidRDefault="002F327D" w:rsidP="002F327D">
      <w:pPr>
        <w:pStyle w:val="NormalWeb"/>
        <w:jc w:val="both"/>
      </w:pPr>
    </w:p>
    <w:p w:rsidR="002F327D" w:rsidRDefault="002F327D" w:rsidP="002F327D">
      <w:pPr>
        <w:pStyle w:val="NormalWeb"/>
        <w:jc w:val="both"/>
        <w:rPr>
          <w:b/>
          <w:bCs/>
          <w:u w:val="single"/>
        </w:rPr>
      </w:pPr>
    </w:p>
    <w:p w:rsidR="002F327D" w:rsidRPr="00FE04D5" w:rsidRDefault="002F327D" w:rsidP="002F327D">
      <w:pPr>
        <w:pStyle w:val="NormalWeb"/>
        <w:jc w:val="both"/>
        <w:rPr>
          <w:b/>
          <w:bCs/>
          <w:u w:val="single"/>
        </w:rPr>
      </w:pPr>
      <w:r w:rsidRPr="00FE04D5">
        <w:rPr>
          <w:b/>
          <w:bCs/>
          <w:u w:val="single"/>
        </w:rPr>
        <w:lastRenderedPageBreak/>
        <w:t>ŞİRKETİN SÜRESİ:</w:t>
      </w:r>
    </w:p>
    <w:p w:rsidR="002F327D" w:rsidRPr="00FE04D5" w:rsidRDefault="002F327D" w:rsidP="002F327D">
      <w:pPr>
        <w:pStyle w:val="NormalWeb"/>
        <w:jc w:val="both"/>
        <w:rPr>
          <w:bCs/>
        </w:rPr>
      </w:pPr>
      <w:r w:rsidRPr="00FE04D5">
        <w:rPr>
          <w:b/>
          <w:bCs/>
          <w:u w:val="single"/>
        </w:rPr>
        <w:t>Madde 5-</w:t>
      </w:r>
      <w:r w:rsidRPr="00FE04D5">
        <w:t xml:space="preserve"> </w:t>
      </w:r>
      <w:r w:rsidRPr="00FE04D5">
        <w:rPr>
          <w:bCs/>
        </w:rPr>
        <w:t>Şirketin süresi, kuruluşundan itibaren (…) yıldır. Bu süre şirket sözleşmesini değiştirmek suretiyle uzatılıp kısaltılabilir.</w:t>
      </w:r>
    </w:p>
    <w:p w:rsidR="002F327D" w:rsidRPr="00FE04D5" w:rsidRDefault="002F327D" w:rsidP="002F327D">
      <w:pPr>
        <w:pStyle w:val="NormalWeb"/>
        <w:jc w:val="both"/>
      </w:pPr>
      <w:proofErr w:type="gramStart"/>
      <w:r w:rsidRPr="00FE04D5">
        <w:t>(</w:t>
      </w:r>
      <w:proofErr w:type="gramEnd"/>
      <w:r w:rsidRPr="00FE04D5">
        <w:t>Şirketin varsa süresi belirtilmelidir. Herhangi bir süre belirlenmemiş ise “Süresiz” ibaresi yazılmalıdır.</w:t>
      </w:r>
      <w:r>
        <w:t xml:space="preserve"> </w:t>
      </w:r>
      <w:r w:rsidRPr="00FE04D5">
        <w:t>Madde 339</w:t>
      </w:r>
      <w:proofErr w:type="gramStart"/>
      <w:r w:rsidRPr="00FE04D5">
        <w:t>)</w:t>
      </w:r>
      <w:proofErr w:type="gramEnd"/>
    </w:p>
    <w:p w:rsidR="002F327D" w:rsidRPr="00FE04D5" w:rsidRDefault="002F327D" w:rsidP="002F327D">
      <w:pPr>
        <w:pStyle w:val="NormalWeb"/>
        <w:jc w:val="both"/>
        <w:rPr>
          <w:b/>
          <w:bCs/>
          <w:u w:val="single"/>
        </w:rPr>
      </w:pPr>
      <w:r w:rsidRPr="00FE04D5">
        <w:rPr>
          <w:b/>
          <w:bCs/>
          <w:u w:val="single"/>
        </w:rPr>
        <w:t xml:space="preserve">SERMAYE VE </w:t>
      </w:r>
      <w:r>
        <w:rPr>
          <w:b/>
          <w:bCs/>
          <w:u w:val="single"/>
        </w:rPr>
        <w:t>PAY SENETLERİNİN TÜRÜ</w:t>
      </w:r>
      <w:r w:rsidRPr="00FE04D5">
        <w:rPr>
          <w:b/>
          <w:bCs/>
          <w:u w:val="single"/>
        </w:rPr>
        <w:t>:</w:t>
      </w:r>
    </w:p>
    <w:p w:rsidR="002F327D" w:rsidRPr="00FE04D5" w:rsidRDefault="002F327D" w:rsidP="002F327D">
      <w:pPr>
        <w:pStyle w:val="NormalWeb"/>
        <w:jc w:val="both"/>
      </w:pPr>
      <w:r w:rsidRPr="00FE04D5">
        <w:rPr>
          <w:b/>
          <w:bCs/>
          <w:u w:val="single"/>
        </w:rPr>
        <w:t>Madde 6-</w:t>
      </w:r>
      <w:r w:rsidRPr="00487591">
        <w:rPr>
          <w:b/>
          <w:bCs/>
        </w:rPr>
        <w:t xml:space="preserve">  </w:t>
      </w:r>
      <w:r w:rsidRPr="00FE04D5">
        <w:t xml:space="preserve">Şirketin sermayesi </w:t>
      </w:r>
      <w:proofErr w:type="gramStart"/>
      <w:r w:rsidRPr="00FE04D5">
        <w:t>..................................................</w:t>
      </w:r>
      <w:proofErr w:type="gramEnd"/>
      <w:r w:rsidRPr="00FE04D5">
        <w:t xml:space="preserve"> Türk Lirası değerindedir.  Bu sermaye, her biri </w:t>
      </w:r>
      <w:proofErr w:type="gramStart"/>
      <w:r w:rsidRPr="00FE04D5">
        <w:t>...............................</w:t>
      </w:r>
      <w:proofErr w:type="gramEnd"/>
      <w:r w:rsidRPr="00FE04D5">
        <w:t xml:space="preserve"> Türk Lirası değerinde </w:t>
      </w:r>
      <w:proofErr w:type="gramStart"/>
      <w:r w:rsidRPr="00FE04D5">
        <w:t>......................................</w:t>
      </w:r>
      <w:proofErr w:type="gramEnd"/>
      <w:r w:rsidRPr="00FE04D5">
        <w:t xml:space="preserve">  </w:t>
      </w:r>
      <w:proofErr w:type="gramStart"/>
      <w:r w:rsidRPr="00FE04D5">
        <w:t>paya</w:t>
      </w:r>
      <w:proofErr w:type="gramEnd"/>
      <w:r w:rsidRPr="00FE04D5">
        <w:t xml:space="preserve"> ayrılmıştır.</w:t>
      </w:r>
    </w:p>
    <w:p w:rsidR="002F327D" w:rsidRPr="00FE04D5" w:rsidRDefault="002F327D" w:rsidP="002F327D">
      <w:pPr>
        <w:pStyle w:val="NormalWeb"/>
        <w:jc w:val="both"/>
      </w:pPr>
      <w:r w:rsidRPr="00FE04D5">
        <w:t xml:space="preserve">Bundan </w:t>
      </w:r>
      <w:proofErr w:type="gramStart"/>
      <w:r w:rsidRPr="00FE04D5">
        <w:t>...................</w:t>
      </w:r>
      <w:proofErr w:type="gramEnd"/>
      <w:r w:rsidRPr="00FE04D5">
        <w:t xml:space="preserve"> paya karşılık </w:t>
      </w:r>
      <w:proofErr w:type="gramStart"/>
      <w:r w:rsidRPr="00FE04D5">
        <w:t>........................</w:t>
      </w:r>
      <w:proofErr w:type="gramEnd"/>
      <w:r w:rsidRPr="00FE04D5">
        <w:t xml:space="preserve"> Türk Lirası, </w:t>
      </w:r>
      <w:proofErr w:type="gramStart"/>
      <w:r w:rsidRPr="00FE04D5">
        <w:t>...................................</w:t>
      </w:r>
      <w:proofErr w:type="gramEnd"/>
    </w:p>
    <w:p w:rsidR="002F327D" w:rsidRPr="00FE04D5" w:rsidRDefault="002F327D" w:rsidP="002F327D">
      <w:pPr>
        <w:pStyle w:val="NormalWeb"/>
        <w:jc w:val="both"/>
      </w:pPr>
      <w:r w:rsidRPr="00FE04D5">
        <w:t xml:space="preserve">Bundan </w:t>
      </w:r>
      <w:proofErr w:type="gramStart"/>
      <w:r w:rsidRPr="00FE04D5">
        <w:t>...................</w:t>
      </w:r>
      <w:proofErr w:type="gramEnd"/>
      <w:r w:rsidRPr="00FE04D5">
        <w:t xml:space="preserve"> Paya karşılık </w:t>
      </w:r>
      <w:proofErr w:type="gramStart"/>
      <w:r w:rsidRPr="00FE04D5">
        <w:t>........................</w:t>
      </w:r>
      <w:proofErr w:type="gramEnd"/>
      <w:r w:rsidRPr="00FE04D5">
        <w:t xml:space="preserve"> Türk Lirası, </w:t>
      </w:r>
      <w:proofErr w:type="gramStart"/>
      <w:r w:rsidRPr="00FE04D5">
        <w:t>...................................</w:t>
      </w:r>
      <w:proofErr w:type="gramEnd"/>
    </w:p>
    <w:p w:rsidR="002F327D" w:rsidRPr="00FE04D5" w:rsidRDefault="002F327D" w:rsidP="002F327D">
      <w:pPr>
        <w:pStyle w:val="NormalWeb"/>
        <w:jc w:val="both"/>
      </w:pPr>
      <w:r w:rsidRPr="00FE04D5">
        <w:t xml:space="preserve">Bundan </w:t>
      </w:r>
      <w:proofErr w:type="gramStart"/>
      <w:r w:rsidRPr="00FE04D5">
        <w:t>...................</w:t>
      </w:r>
      <w:proofErr w:type="gramEnd"/>
      <w:r w:rsidRPr="00FE04D5">
        <w:t xml:space="preserve"> Paya karşılık </w:t>
      </w:r>
      <w:proofErr w:type="gramStart"/>
      <w:r w:rsidRPr="00FE04D5">
        <w:t>........................</w:t>
      </w:r>
      <w:proofErr w:type="gramEnd"/>
      <w:r w:rsidRPr="00FE04D5">
        <w:t xml:space="preserve"> Türk Lirası, </w:t>
      </w:r>
      <w:proofErr w:type="gramStart"/>
      <w:r w:rsidRPr="00FE04D5">
        <w:t>...................................</w:t>
      </w:r>
      <w:proofErr w:type="gramEnd"/>
    </w:p>
    <w:p w:rsidR="002F327D" w:rsidRPr="00FE04D5" w:rsidRDefault="002F327D" w:rsidP="002F327D">
      <w:pPr>
        <w:pStyle w:val="NormalWeb"/>
        <w:jc w:val="both"/>
      </w:pPr>
      <w:proofErr w:type="gramStart"/>
      <w:r w:rsidRPr="00FE04D5">
        <w:t>tarafından</w:t>
      </w:r>
      <w:proofErr w:type="gramEnd"/>
      <w:r w:rsidRPr="00FE04D5">
        <w:t xml:space="preserve"> tamamı taahhüt edilmiş ve nakden taahhüt edilen payların itibari değerlerinin ¼ ü şirketin tescilinden önce ödenmiş olup, geri kalan ¾’ü ise yönetim kurulunun alacağı kararlara göre şirketin tescilini izleyen </w:t>
      </w:r>
      <w:proofErr w:type="spellStart"/>
      <w:r w:rsidRPr="00FE04D5">
        <w:t>yirmidört</w:t>
      </w:r>
      <w:proofErr w:type="spellEnd"/>
      <w:r w:rsidRPr="00FE04D5">
        <w:t xml:space="preserve"> ay içinde ödenecektir.</w:t>
      </w:r>
    </w:p>
    <w:p w:rsidR="002F327D" w:rsidRPr="00FE04D5" w:rsidRDefault="002F327D" w:rsidP="002F327D">
      <w:pPr>
        <w:pStyle w:val="NormalWeb"/>
        <w:jc w:val="both"/>
      </w:pPr>
      <w:r>
        <w:t>Pay</w:t>
      </w:r>
      <w:r w:rsidRPr="00FE04D5">
        <w:t xml:space="preserve"> senetleri </w:t>
      </w:r>
      <w:proofErr w:type="gramStart"/>
      <w:r w:rsidRPr="00FE04D5">
        <w:t>......................................................</w:t>
      </w:r>
      <w:proofErr w:type="gramEnd"/>
      <w:r w:rsidRPr="00FE04D5">
        <w:t xml:space="preserve"> </w:t>
      </w:r>
      <w:proofErr w:type="gramStart"/>
      <w:r w:rsidRPr="00FE04D5">
        <w:t>yazılıdır</w:t>
      </w:r>
      <w:proofErr w:type="gramEnd"/>
      <w:r w:rsidRPr="00FE04D5">
        <w:t>.</w:t>
      </w:r>
    </w:p>
    <w:p w:rsidR="002F327D" w:rsidRPr="00FE04D5" w:rsidRDefault="002F327D" w:rsidP="002F327D">
      <w:pPr>
        <w:pStyle w:val="NormalWeb"/>
        <w:jc w:val="both"/>
      </w:pPr>
      <w:r>
        <w:t xml:space="preserve">Pay </w:t>
      </w:r>
      <w:r w:rsidRPr="00FE04D5">
        <w:t xml:space="preserve">senetleri ( </w:t>
      </w:r>
      <w:proofErr w:type="gramStart"/>
      <w:r w:rsidRPr="00FE04D5">
        <w:t>..................................................................</w:t>
      </w:r>
      <w:proofErr w:type="gramEnd"/>
      <w:r w:rsidRPr="00FE04D5">
        <w:t xml:space="preserve"> ) </w:t>
      </w:r>
      <w:proofErr w:type="spellStart"/>
      <w:r w:rsidRPr="00FE04D5">
        <w:t>küpürler</w:t>
      </w:r>
      <w:proofErr w:type="spellEnd"/>
      <w:r w:rsidRPr="00FE04D5">
        <w:t xml:space="preserve"> halinde bastırılabilir. Sermayenin tamamı ödenmedikçe hamiline yazılı </w:t>
      </w:r>
      <w:r>
        <w:t>pay</w:t>
      </w:r>
      <w:r w:rsidRPr="00FE04D5">
        <w:t xml:space="preserve"> senedi çıkarılamaz.</w:t>
      </w:r>
    </w:p>
    <w:p w:rsidR="002F327D" w:rsidRPr="00FE04D5" w:rsidRDefault="002F327D" w:rsidP="002F327D">
      <w:pPr>
        <w:pStyle w:val="DipnotMetni"/>
        <w:jc w:val="both"/>
        <w:rPr>
          <w:sz w:val="24"/>
          <w:szCs w:val="24"/>
        </w:rPr>
      </w:pPr>
      <w:proofErr w:type="gramStart"/>
      <w:r w:rsidRPr="00FE04D5">
        <w:rPr>
          <w:sz w:val="24"/>
          <w:szCs w:val="24"/>
        </w:rPr>
        <w:t>(</w:t>
      </w:r>
      <w:proofErr w:type="gramEnd"/>
      <w:r w:rsidRPr="00FE04D5">
        <w:rPr>
          <w:sz w:val="24"/>
          <w:szCs w:val="24"/>
        </w:rPr>
        <w:t xml:space="preserve">Esas sermaye </w:t>
      </w:r>
      <w:proofErr w:type="spellStart"/>
      <w:r w:rsidRPr="00FE04D5">
        <w:rPr>
          <w:sz w:val="24"/>
          <w:szCs w:val="24"/>
        </w:rPr>
        <w:t>ellibin</w:t>
      </w:r>
      <w:proofErr w:type="spellEnd"/>
      <w:r w:rsidRPr="00FE04D5">
        <w:rPr>
          <w:sz w:val="24"/>
          <w:szCs w:val="24"/>
        </w:rPr>
        <w:t xml:space="preserve"> Türk Lirasından aşağı olamaz. Bir payın itibari değeri en az bir kuruş veya katları şeklinde belirlenebilir. Madde 332, 476</w:t>
      </w:r>
      <w:proofErr w:type="gramStart"/>
      <w:r w:rsidRPr="00FE04D5">
        <w:rPr>
          <w:sz w:val="24"/>
          <w:szCs w:val="24"/>
        </w:rPr>
        <w:t>)</w:t>
      </w:r>
      <w:proofErr w:type="gramEnd"/>
      <w:r w:rsidRPr="00FE04D5">
        <w:rPr>
          <w:sz w:val="24"/>
          <w:szCs w:val="24"/>
        </w:rPr>
        <w:t xml:space="preserve">  </w:t>
      </w:r>
    </w:p>
    <w:p w:rsidR="002F327D" w:rsidRPr="00FE04D5" w:rsidRDefault="002F327D" w:rsidP="002F327D">
      <w:pPr>
        <w:pStyle w:val="NormalWeb"/>
        <w:jc w:val="both"/>
        <w:rPr>
          <w:b/>
          <w:bCs/>
          <w:u w:val="single"/>
        </w:rPr>
      </w:pPr>
      <w:r>
        <w:rPr>
          <w:b/>
          <w:bCs/>
          <w:u w:val="single"/>
        </w:rPr>
        <w:t>YÖNETİM KURULU VE</w:t>
      </w:r>
      <w:r w:rsidRPr="00FE04D5">
        <w:rPr>
          <w:b/>
          <w:bCs/>
          <w:u w:val="single"/>
        </w:rPr>
        <w:t xml:space="preserve"> </w:t>
      </w:r>
      <w:proofErr w:type="gramStart"/>
      <w:r w:rsidRPr="00FE04D5">
        <w:rPr>
          <w:b/>
          <w:bCs/>
          <w:u w:val="single"/>
        </w:rPr>
        <w:t>SÜRESİ :</w:t>
      </w:r>
      <w:proofErr w:type="gramEnd"/>
    </w:p>
    <w:p w:rsidR="002F327D" w:rsidRPr="00FE04D5" w:rsidRDefault="002F327D" w:rsidP="002F327D">
      <w:pPr>
        <w:pStyle w:val="NormalWeb"/>
        <w:jc w:val="both"/>
        <w:rPr>
          <w:b/>
          <w:bCs/>
        </w:rPr>
      </w:pPr>
      <w:r w:rsidRPr="00FE04D5">
        <w:rPr>
          <w:b/>
          <w:bCs/>
          <w:u w:val="single"/>
        </w:rPr>
        <w:t xml:space="preserve">Madde7- </w:t>
      </w:r>
      <w:r w:rsidRPr="00FE04D5">
        <w:t>Şirketin işleri ve idaresi genel kurul tarafından Türk Ticaret Kanunu Hükümleri çerçevesinde seçilecek (</w:t>
      </w:r>
      <w:proofErr w:type="gramStart"/>
      <w:r w:rsidRPr="00FE04D5">
        <w:t>.........</w:t>
      </w:r>
      <w:proofErr w:type="gramEnd"/>
      <w:r w:rsidRPr="00FE04D5">
        <w:t>) üyeden oluşan bir yönetim kurulu tarafından yürütülür.</w:t>
      </w:r>
    </w:p>
    <w:p w:rsidR="002F327D" w:rsidRPr="00FE04D5" w:rsidRDefault="002F327D" w:rsidP="002F327D">
      <w:pPr>
        <w:pStyle w:val="NormalWeb"/>
        <w:jc w:val="both"/>
      </w:pPr>
      <w:r w:rsidRPr="00FE04D5">
        <w:t>İlk Yönetim Kurulu Üyesi olarak:</w:t>
      </w:r>
    </w:p>
    <w:p w:rsidR="002F327D" w:rsidRPr="00FE04D5" w:rsidRDefault="002F327D" w:rsidP="002F327D">
      <w:pPr>
        <w:pStyle w:val="NormalWeb"/>
        <w:jc w:val="both"/>
      </w:pPr>
      <w:proofErr w:type="gramStart"/>
      <w:r w:rsidRPr="00FE04D5">
        <w:t>......................................................</w:t>
      </w:r>
      <w:proofErr w:type="gramEnd"/>
    </w:p>
    <w:p w:rsidR="002F327D" w:rsidRPr="00FE04D5" w:rsidRDefault="002F327D" w:rsidP="002F327D">
      <w:pPr>
        <w:pStyle w:val="NormalWeb"/>
        <w:jc w:val="both"/>
      </w:pPr>
      <w:proofErr w:type="gramStart"/>
      <w:r w:rsidRPr="00FE04D5">
        <w:t>......................................................</w:t>
      </w:r>
      <w:proofErr w:type="gramEnd"/>
    </w:p>
    <w:p w:rsidR="002F327D" w:rsidRPr="00FE04D5" w:rsidRDefault="002F327D" w:rsidP="002F327D">
      <w:pPr>
        <w:pStyle w:val="NormalWeb"/>
        <w:jc w:val="both"/>
      </w:pPr>
      <w:proofErr w:type="gramStart"/>
      <w:r w:rsidRPr="00FE04D5">
        <w:t>seçilmişlerdir</w:t>
      </w:r>
      <w:proofErr w:type="gramEnd"/>
      <w:r w:rsidRPr="00FE04D5">
        <w:t xml:space="preserve">.  Yönetim </w:t>
      </w:r>
      <w:r>
        <w:t>k</w:t>
      </w:r>
      <w:r w:rsidRPr="00FE04D5">
        <w:t xml:space="preserve">urulu </w:t>
      </w:r>
      <w:r>
        <w:t>ü</w:t>
      </w:r>
      <w:r w:rsidRPr="00FE04D5">
        <w:t xml:space="preserve">yeleri en çok 3 yıl için seçilebilirler. İlk yönetim </w:t>
      </w:r>
      <w:r>
        <w:t>kurulu ü</w:t>
      </w:r>
      <w:r w:rsidRPr="00FE04D5">
        <w:t>yeleri (</w:t>
      </w:r>
      <w:proofErr w:type="gramStart"/>
      <w:r w:rsidRPr="00FE04D5">
        <w:t>.......</w:t>
      </w:r>
      <w:proofErr w:type="gramEnd"/>
      <w:r w:rsidRPr="00FE04D5">
        <w:t xml:space="preserve">) yıl için seçilmişlerdir. Görev süresi sona eren yönetim kurulu üyeleri yeniden seçilebilirler. </w:t>
      </w:r>
    </w:p>
    <w:p w:rsidR="002F327D" w:rsidRPr="00FE04D5" w:rsidRDefault="002F327D" w:rsidP="002F327D">
      <w:pPr>
        <w:pStyle w:val="DipnotMetni"/>
        <w:jc w:val="both"/>
        <w:rPr>
          <w:sz w:val="24"/>
          <w:szCs w:val="24"/>
        </w:rPr>
      </w:pPr>
      <w:proofErr w:type="gramStart"/>
      <w:r w:rsidRPr="00FE04D5">
        <w:rPr>
          <w:sz w:val="24"/>
          <w:szCs w:val="24"/>
        </w:rPr>
        <w:t>(</w:t>
      </w:r>
      <w:proofErr w:type="gramEnd"/>
      <w:r w:rsidRPr="00FE04D5">
        <w:rPr>
          <w:sz w:val="24"/>
          <w:szCs w:val="24"/>
        </w:rPr>
        <w:t xml:space="preserve">Yönetim kurulu en az bir kişiden oluşur. Yönetim kurulu üyelerinin pay sahibi olması zorunlu değildir. Tüzel kişiler yönetim kuruluna seçilebilir. Esas sözleşmeye, görev süresi sona eren </w:t>
      </w:r>
      <w:r w:rsidRPr="00FE04D5">
        <w:rPr>
          <w:sz w:val="24"/>
          <w:szCs w:val="24"/>
        </w:rPr>
        <w:lastRenderedPageBreak/>
        <w:t>yönetim kurulu üyelerinin yeniden seçilemeyeceğine ilişkin hüküm konulabilir. Madde 359, 362</w:t>
      </w:r>
      <w:proofErr w:type="gramStart"/>
      <w:r w:rsidRPr="00FE04D5">
        <w:rPr>
          <w:sz w:val="24"/>
          <w:szCs w:val="24"/>
        </w:rPr>
        <w:t>)</w:t>
      </w:r>
      <w:proofErr w:type="gramEnd"/>
    </w:p>
    <w:p w:rsidR="002F327D" w:rsidRPr="00FE04D5" w:rsidRDefault="002F327D" w:rsidP="002F327D">
      <w:pPr>
        <w:pStyle w:val="NormalWeb"/>
        <w:jc w:val="both"/>
      </w:pPr>
      <w:r w:rsidRPr="00FE04D5">
        <w:rPr>
          <w:b/>
          <w:bCs/>
          <w:u w:val="single"/>
        </w:rPr>
        <w:t>ŞİRKETİN TEMSİLİ VE YÖNETİM KURULU ÜYELERİNİN GÖREV DAĞILIMI:</w:t>
      </w:r>
    </w:p>
    <w:p w:rsidR="002F327D" w:rsidRPr="00FE04D5" w:rsidRDefault="002F327D" w:rsidP="002F327D">
      <w:pPr>
        <w:pStyle w:val="NormalWeb"/>
        <w:jc w:val="both"/>
      </w:pPr>
      <w:r w:rsidRPr="00FE04D5">
        <w:rPr>
          <w:b/>
          <w:bCs/>
          <w:u w:val="single"/>
        </w:rPr>
        <w:t>Madde 8-</w:t>
      </w:r>
      <w:r w:rsidRPr="00FE04D5">
        <w:t xml:space="preserve"> Şirketin yönetimi ve dışarıya karşı temsili yönetim kuruluna aittir. Şirket tarafından verilecek bütün belgelerin ve yapılacak sözleşmelerin geçerli olab</w:t>
      </w:r>
      <w:r>
        <w:t>ilmesi için, bunların Şirketin u</w:t>
      </w:r>
      <w:r w:rsidRPr="00FE04D5">
        <w:t>nvanı altına konmuş ve Şirketi ilzama yetkili (</w:t>
      </w:r>
      <w:proofErr w:type="gramStart"/>
      <w:r w:rsidRPr="00FE04D5">
        <w:t>......</w:t>
      </w:r>
      <w:proofErr w:type="gramEnd"/>
      <w:r w:rsidRPr="00FE04D5">
        <w:t xml:space="preserve">) kişinin imzasını taşıması gereklidir. </w:t>
      </w:r>
    </w:p>
    <w:p w:rsidR="002F327D" w:rsidRPr="00FE04D5" w:rsidRDefault="002F327D" w:rsidP="002F327D">
      <w:pPr>
        <w:spacing w:line="240" w:lineRule="exact"/>
        <w:jc w:val="both"/>
        <w:rPr>
          <w:sz w:val="24"/>
          <w:szCs w:val="24"/>
        </w:rPr>
      </w:pPr>
      <w:proofErr w:type="gramStart"/>
      <w:r w:rsidRPr="00FE04D5">
        <w:rPr>
          <w:sz w:val="24"/>
          <w:szCs w:val="24"/>
        </w:rPr>
        <w:t>(</w:t>
      </w:r>
      <w:proofErr w:type="gramEnd"/>
      <w:r w:rsidRPr="00FE04D5">
        <w:rPr>
          <w:sz w:val="24"/>
          <w:szCs w:val="24"/>
        </w:rPr>
        <w:t>Esas sözleşmede, yönetim kurulu başkanının ve başkan vekilinin veya bunlardan birinin, genel kurul tarafından seçilmesi öngörülebilir. Yönetim kurulu esas sözleşmeye konulacak bir hükümle, düzenleyeceği bir iç yönergeye göre, yönetimi, kısmen veya tamamen bir veya birkaç yönetim kurulu üyesine veya üçüncü kişiye devretmeye yetkili kılınabilir. Madde 367</w:t>
      </w:r>
      <w:proofErr w:type="gramStart"/>
      <w:r w:rsidRPr="00FE04D5">
        <w:rPr>
          <w:sz w:val="24"/>
          <w:szCs w:val="24"/>
        </w:rPr>
        <w:t>)</w:t>
      </w:r>
      <w:proofErr w:type="gramEnd"/>
    </w:p>
    <w:p w:rsidR="002F327D" w:rsidRPr="00FE04D5" w:rsidRDefault="002F327D" w:rsidP="002F327D">
      <w:pPr>
        <w:spacing w:line="240" w:lineRule="exact"/>
        <w:jc w:val="both"/>
        <w:rPr>
          <w:sz w:val="24"/>
          <w:szCs w:val="24"/>
        </w:rPr>
      </w:pPr>
    </w:p>
    <w:p w:rsidR="002F327D" w:rsidRPr="00FE04D5" w:rsidRDefault="002F327D" w:rsidP="002F327D">
      <w:pPr>
        <w:pStyle w:val="NormalWeb"/>
        <w:jc w:val="both"/>
        <w:rPr>
          <w:b/>
          <w:bCs/>
          <w:u w:val="single"/>
        </w:rPr>
      </w:pPr>
      <w:r w:rsidRPr="00FE04D5">
        <w:rPr>
          <w:b/>
          <w:bCs/>
          <w:u w:val="single"/>
        </w:rPr>
        <w:t>GENEL KURUL:</w:t>
      </w:r>
    </w:p>
    <w:p w:rsidR="002F327D" w:rsidRPr="00FE04D5" w:rsidRDefault="002F327D" w:rsidP="002F327D">
      <w:pPr>
        <w:pStyle w:val="NormalWeb"/>
        <w:jc w:val="both"/>
      </w:pPr>
      <w:r w:rsidRPr="00FE04D5">
        <w:rPr>
          <w:b/>
          <w:bCs/>
          <w:u w:val="single"/>
        </w:rPr>
        <w:t>Madde 9-</w:t>
      </w:r>
      <w:r w:rsidRPr="00487591">
        <w:rPr>
          <w:b/>
          <w:bCs/>
        </w:rPr>
        <w:t xml:space="preserve"> </w:t>
      </w:r>
      <w:r w:rsidRPr="00FE04D5">
        <w:t xml:space="preserve">Genel Kurullar, olağan ve olağanüstü toplanırlar. </w:t>
      </w:r>
      <w:r>
        <w:t>Olağan genel kurul, ş</w:t>
      </w:r>
      <w:r w:rsidRPr="00FE04D5">
        <w:t>irketin hesap devresi sonundan itibaren 3 ay iç</w:t>
      </w:r>
      <w:r>
        <w:t>inde ve senede en az bir defa; olağanüstü genel k</w:t>
      </w:r>
      <w:r w:rsidRPr="00FE04D5">
        <w:t xml:space="preserve">urullar ise, Şirket işlerinin </w:t>
      </w:r>
      <w:r>
        <w:t>gerekt</w:t>
      </w:r>
      <w:r w:rsidRPr="00FE04D5">
        <w:t>irdiği hallerde ve zamanlarda toplanır.</w:t>
      </w:r>
    </w:p>
    <w:p w:rsidR="002F327D" w:rsidRPr="00FE04D5" w:rsidRDefault="002F327D" w:rsidP="002F327D">
      <w:pPr>
        <w:pStyle w:val="NormalWeb"/>
        <w:jc w:val="both"/>
      </w:pPr>
      <w:r>
        <w:t>Genel k</w:t>
      </w:r>
      <w:r w:rsidRPr="00FE04D5">
        <w:t>urul toplantılarında</w:t>
      </w:r>
      <w:r>
        <w:t>, her pay sahibinin oy hakkı, sahip olduğu payların itibari değerleri toplamının, şirket sermayesinin itibari değerinin toplamına oranlanmasıyla hesaplanır. Pay sahibi genel kurul toplantılarına kendisi katılabileceği gibi</w:t>
      </w:r>
      <w:r w:rsidRPr="00FE04D5">
        <w:t xml:space="preserve"> pay sahi</w:t>
      </w:r>
      <w:r>
        <w:t>bi olan veya olmayan bir temsilci de yollayabilir.</w:t>
      </w:r>
      <w:r w:rsidRPr="00FE04D5">
        <w:t xml:space="preserve"> </w:t>
      </w:r>
    </w:p>
    <w:p w:rsidR="002F327D" w:rsidRPr="00FE04D5" w:rsidRDefault="002F327D" w:rsidP="002F327D">
      <w:pPr>
        <w:pStyle w:val="NormalWeb"/>
        <w:jc w:val="both"/>
      </w:pPr>
      <w:r>
        <w:t>Şirket g</w:t>
      </w:r>
      <w:r w:rsidRPr="00FE04D5">
        <w:t xml:space="preserve">enel </w:t>
      </w:r>
      <w:r>
        <w:t>kurul t</w:t>
      </w:r>
      <w:r w:rsidRPr="00FE04D5">
        <w:t>opla</w:t>
      </w:r>
      <w:r>
        <w:t>ntılarında, Türk Ticaret Kanunu</w:t>
      </w:r>
      <w:r w:rsidRPr="00FE04D5">
        <w:t>nun 409.maddesinde yazılı hususlar müzakere edilerek gerekli kararlar alınır.</w:t>
      </w:r>
      <w:r>
        <w:t xml:space="preserve"> Genel k</w:t>
      </w:r>
      <w:r w:rsidRPr="00FE04D5">
        <w:t xml:space="preserve">urul </w:t>
      </w:r>
      <w:r>
        <w:t>t</w:t>
      </w:r>
      <w:r w:rsidRPr="00FE04D5">
        <w:t>oplantıları ve bu toplantılardaki karar nisabı, Türk Ticaret Kanunu hükümlerine tabidir.</w:t>
      </w:r>
    </w:p>
    <w:p w:rsidR="002F327D" w:rsidRPr="00FE04D5" w:rsidRDefault="002F327D" w:rsidP="002F327D">
      <w:pPr>
        <w:pStyle w:val="NormalWeb"/>
        <w:jc w:val="both"/>
      </w:pPr>
      <w:r>
        <w:t>Genel kurul, ş</w:t>
      </w:r>
      <w:r w:rsidRPr="00FE04D5">
        <w:t>irketin merkez adresinde veya yönetim merkezinin bulunduğu şehrin elverişli bir yerinde toplanır.</w:t>
      </w:r>
    </w:p>
    <w:p w:rsidR="002F327D" w:rsidRPr="003529B4" w:rsidRDefault="002F327D" w:rsidP="002F327D">
      <w:pPr>
        <w:pStyle w:val="NormalWeb"/>
        <w:jc w:val="both"/>
        <w:rPr>
          <w:bCs/>
        </w:rPr>
      </w:pPr>
      <w:proofErr w:type="gramStart"/>
      <w:r w:rsidRPr="003529B4">
        <w:rPr>
          <w:bCs/>
        </w:rPr>
        <w:t>(</w:t>
      </w:r>
      <w:proofErr w:type="gramEnd"/>
      <w:r w:rsidRPr="003529B4">
        <w:rPr>
          <w:bCs/>
        </w:rPr>
        <w:t xml:space="preserve">Esas sözleşme ile genel kurul toplantılarında pay sahiplerini temsil edecek </w:t>
      </w:r>
      <w:r>
        <w:rPr>
          <w:bCs/>
        </w:rPr>
        <w:t>kişilerin</w:t>
      </w:r>
      <w:r w:rsidRPr="003529B4">
        <w:rPr>
          <w:bCs/>
        </w:rPr>
        <w:t xml:space="preserve"> pay sahibi olması zorunluluğu getirilemez.</w:t>
      </w:r>
      <w:r>
        <w:rPr>
          <w:bCs/>
        </w:rPr>
        <w:t xml:space="preserve"> Esas sözleşmede bir payı olsa dahi her pay sahibine en az bir oy hakkının tanınması zorunlu olup birden fazla paya sahip olan pay sahipleri için ise oy sayısı sınırlandırılabilir. </w:t>
      </w:r>
      <w:r>
        <w:t>Genel k</w:t>
      </w:r>
      <w:r w:rsidRPr="00FE04D5">
        <w:t>urul</w:t>
      </w:r>
      <w:r>
        <w:t xml:space="preserve"> toplantılarının ş</w:t>
      </w:r>
      <w:r w:rsidRPr="00FE04D5">
        <w:t>irketin merkez adresinde</w:t>
      </w:r>
      <w:r>
        <w:t>n</w:t>
      </w:r>
      <w:r w:rsidRPr="00FE04D5">
        <w:t xml:space="preserve"> veya yönetim merkezinin bulunduğu şehrin elverişli bir yerinde</w:t>
      </w:r>
      <w:r>
        <w:t xml:space="preserve">n farklı bir yerde yapılabilmesi için söz konusu yerlerin esas sözleşmeye açıkça yazılması gerekmektedir. </w:t>
      </w:r>
      <w:r>
        <w:rPr>
          <w:bCs/>
        </w:rPr>
        <w:t>Madde 425, 434/2, 409</w:t>
      </w:r>
      <w:proofErr w:type="gramStart"/>
      <w:r>
        <w:rPr>
          <w:bCs/>
        </w:rPr>
        <w:t>)</w:t>
      </w:r>
      <w:proofErr w:type="gramEnd"/>
    </w:p>
    <w:p w:rsidR="002F327D" w:rsidRPr="00FE04D5" w:rsidRDefault="002F327D" w:rsidP="002F327D">
      <w:pPr>
        <w:pStyle w:val="NormalWeb"/>
        <w:jc w:val="both"/>
        <w:rPr>
          <w:b/>
          <w:bCs/>
          <w:u w:val="single"/>
        </w:rPr>
      </w:pPr>
      <w:r w:rsidRPr="00FE04D5">
        <w:rPr>
          <w:b/>
          <w:bCs/>
          <w:u w:val="single"/>
        </w:rPr>
        <w:t>İLAN:</w:t>
      </w:r>
    </w:p>
    <w:p w:rsidR="002F327D" w:rsidRDefault="002F327D" w:rsidP="002F327D">
      <w:pPr>
        <w:pStyle w:val="NormalWeb"/>
        <w:jc w:val="both"/>
      </w:pPr>
      <w:r w:rsidRPr="00FE04D5">
        <w:rPr>
          <w:b/>
          <w:bCs/>
          <w:u w:val="single"/>
        </w:rPr>
        <w:t>Madde 10-</w:t>
      </w:r>
      <w:r w:rsidRPr="00FE04D5">
        <w:t xml:space="preserve"> Şirkete ait ilanlar,  </w:t>
      </w:r>
      <w:r>
        <w:t xml:space="preserve">Türk Ticaret Kanununun 35 inci maddesinin dördüncü fıkrası hükmü saklı kalmak kaydıyla şirket merkezinin bulunduğu yerde çıkan bir gazete ile en az </w:t>
      </w:r>
      <w:proofErr w:type="spellStart"/>
      <w:r>
        <w:t>onbeş</w:t>
      </w:r>
      <w:proofErr w:type="spellEnd"/>
      <w:r>
        <w:t xml:space="preserve"> gün önce yapılır. Mahallinde gazete yayımlanmadığı takdirde ilan, en yakın yerlerdeki gazete ile yapılır. </w:t>
      </w:r>
    </w:p>
    <w:p w:rsidR="002F327D" w:rsidRDefault="002F327D" w:rsidP="002F327D">
      <w:pPr>
        <w:pStyle w:val="NormalWeb"/>
        <w:jc w:val="both"/>
      </w:pPr>
      <w:r w:rsidRPr="00FE04D5">
        <w:t xml:space="preserve">Genel </w:t>
      </w:r>
      <w:r>
        <w:t>k</w:t>
      </w:r>
      <w:r w:rsidRPr="00FE04D5">
        <w:t>urulun toplantıya çağırılmasına ait ilanlar Türk Ticaret Kanununun 414</w:t>
      </w:r>
      <w:r>
        <w:t xml:space="preserve"> üncü m</w:t>
      </w:r>
      <w:r w:rsidRPr="00FE04D5">
        <w:t>addesi hükmü gereğince ilan ve toplantı günleri hariç o</w:t>
      </w:r>
      <w:r>
        <w:t>lmak üzere en az iki hafta önce</w:t>
      </w:r>
      <w:r w:rsidRPr="00FE04D5">
        <w:t xml:space="preserve"> yapılması zorunludur.</w:t>
      </w:r>
    </w:p>
    <w:p w:rsidR="002F327D" w:rsidRDefault="002F327D" w:rsidP="002F327D">
      <w:pPr>
        <w:pStyle w:val="NormalWeb"/>
        <w:jc w:val="both"/>
      </w:pPr>
      <w:r>
        <w:lastRenderedPageBreak/>
        <w:t xml:space="preserve">(Kanunun zorunlu tuttuğu şekil ve şartlar saklı kalmak kaydıyla şirkete ait ilanların nasıl yapılacağı esas sözleşme ile serbestçe düzenlenebilir.) </w:t>
      </w:r>
    </w:p>
    <w:p w:rsidR="002F327D" w:rsidRPr="00FE04D5" w:rsidRDefault="002F327D" w:rsidP="002F327D">
      <w:pPr>
        <w:pStyle w:val="NormalWeb"/>
        <w:jc w:val="both"/>
        <w:rPr>
          <w:b/>
          <w:bCs/>
          <w:u w:val="single"/>
        </w:rPr>
      </w:pPr>
      <w:r w:rsidRPr="00FE04D5">
        <w:rPr>
          <w:b/>
          <w:bCs/>
          <w:u w:val="single"/>
        </w:rPr>
        <w:t xml:space="preserve">HESAP DÖNEMİ: </w:t>
      </w:r>
    </w:p>
    <w:p w:rsidR="002F327D" w:rsidRPr="00FE04D5" w:rsidRDefault="002F327D" w:rsidP="002F327D">
      <w:pPr>
        <w:pStyle w:val="NormalWeb"/>
        <w:jc w:val="both"/>
      </w:pPr>
      <w:r w:rsidRPr="00FE04D5">
        <w:rPr>
          <w:b/>
          <w:bCs/>
          <w:u w:val="single"/>
        </w:rPr>
        <w:t>Madde 1</w:t>
      </w:r>
      <w:r>
        <w:rPr>
          <w:b/>
          <w:bCs/>
          <w:u w:val="single"/>
        </w:rPr>
        <w:t>1</w:t>
      </w:r>
      <w:r w:rsidRPr="00FE04D5">
        <w:rPr>
          <w:b/>
          <w:bCs/>
          <w:u w:val="single"/>
        </w:rPr>
        <w:t>-</w:t>
      </w:r>
      <w:r w:rsidRPr="00FE04D5">
        <w:t xml:space="preserve"> Şirket hesap yılı Ocak ayının birinci gününden başlar ve Aralık ayının sonuncu günü sona erer. Fakat birinci hesap yılı Şirketin kesin olarak kurulduğu tarihten itibaren başlar ve o senenin aralık ayının sonuncu günü sona erer.</w:t>
      </w:r>
    </w:p>
    <w:p w:rsidR="002F327D" w:rsidRPr="00FE04D5" w:rsidRDefault="002F327D" w:rsidP="002F327D">
      <w:pPr>
        <w:pStyle w:val="NormalWeb"/>
        <w:jc w:val="both"/>
        <w:rPr>
          <w:b/>
          <w:bCs/>
          <w:u w:val="single"/>
        </w:rPr>
      </w:pPr>
      <w:r>
        <w:rPr>
          <w:b/>
          <w:bCs/>
          <w:u w:val="single"/>
        </w:rPr>
        <w:t>KARIN TESPİTİ VE</w:t>
      </w:r>
      <w:r w:rsidRPr="00FE04D5">
        <w:rPr>
          <w:b/>
          <w:bCs/>
          <w:u w:val="single"/>
        </w:rPr>
        <w:t xml:space="preserve"> DAĞITIMI:</w:t>
      </w:r>
    </w:p>
    <w:p w:rsidR="002F327D" w:rsidRDefault="002F327D" w:rsidP="002F327D">
      <w:pPr>
        <w:pStyle w:val="NormalWeb"/>
        <w:jc w:val="both"/>
        <w:rPr>
          <w:b/>
          <w:bCs/>
          <w:u w:val="single"/>
        </w:rPr>
      </w:pPr>
      <w:r w:rsidRPr="00FE04D5">
        <w:rPr>
          <w:b/>
          <w:bCs/>
          <w:u w:val="single"/>
        </w:rPr>
        <w:t>Madde 1</w:t>
      </w:r>
      <w:r>
        <w:rPr>
          <w:b/>
          <w:bCs/>
          <w:u w:val="single"/>
        </w:rPr>
        <w:t>2</w:t>
      </w:r>
      <w:r w:rsidRPr="00FE04D5">
        <w:rPr>
          <w:b/>
          <w:bCs/>
          <w:u w:val="single"/>
        </w:rPr>
        <w:t>-</w:t>
      </w:r>
    </w:p>
    <w:p w:rsidR="002F327D" w:rsidRDefault="002F327D" w:rsidP="002F327D">
      <w:pPr>
        <w:spacing w:line="240" w:lineRule="exact"/>
        <w:jc w:val="both"/>
        <w:rPr>
          <w:sz w:val="24"/>
          <w:szCs w:val="24"/>
        </w:rPr>
      </w:pPr>
      <w:r w:rsidRPr="00133883">
        <w:rPr>
          <w:sz w:val="24"/>
          <w:szCs w:val="24"/>
        </w:rPr>
        <w:t>Şirketin net dönem karı yapılmış her çeşit masrafların çıkarılmasından sonra kalan miktardır. Net dönem kârından her yıl %5 genel kanuni ye</w:t>
      </w:r>
      <w:r>
        <w:rPr>
          <w:sz w:val="24"/>
          <w:szCs w:val="24"/>
        </w:rPr>
        <w:t xml:space="preserve">dek akçe ayrılır; kalan miktarın %5’i </w:t>
      </w:r>
      <w:r w:rsidRPr="00133883">
        <w:rPr>
          <w:sz w:val="24"/>
          <w:szCs w:val="24"/>
        </w:rPr>
        <w:t xml:space="preserve">pay sahiplerine kar payı olarak dağıtılır. Kar payı, </w:t>
      </w:r>
      <w:r>
        <w:rPr>
          <w:sz w:val="24"/>
          <w:szCs w:val="24"/>
        </w:rPr>
        <w:t>pay sahibinin esas sermaye payı için şirkete yaptığı ödemelerle orantılı olarak hesaplanır.</w:t>
      </w:r>
      <w:r w:rsidRPr="00133883">
        <w:rPr>
          <w:sz w:val="24"/>
          <w:szCs w:val="24"/>
        </w:rPr>
        <w:t xml:space="preserve"> </w:t>
      </w:r>
    </w:p>
    <w:p w:rsidR="002F327D" w:rsidRDefault="002F327D" w:rsidP="002F327D">
      <w:pPr>
        <w:spacing w:line="240" w:lineRule="exact"/>
        <w:jc w:val="both"/>
        <w:rPr>
          <w:sz w:val="24"/>
          <w:szCs w:val="24"/>
        </w:rPr>
      </w:pPr>
    </w:p>
    <w:p w:rsidR="002F327D" w:rsidRDefault="002F327D" w:rsidP="002F327D">
      <w:pPr>
        <w:spacing w:line="240" w:lineRule="exact"/>
        <w:jc w:val="both"/>
        <w:rPr>
          <w:sz w:val="24"/>
          <w:szCs w:val="24"/>
        </w:rPr>
      </w:pPr>
      <w:r>
        <w:rPr>
          <w:sz w:val="24"/>
          <w:szCs w:val="24"/>
        </w:rPr>
        <w:t>Net dönem karının geri kalan kısmı, genel kurulun tespit edeceği şekil ve surette dağıtılır. Pay sahiplerine yüzde beş oranında kar payı ödendikten sonra kardan pay alacak kişilere dağıtılacak toplam tutarın yüzde onu genel kanuni yedek akçeye eklenir.</w:t>
      </w:r>
    </w:p>
    <w:p w:rsidR="002F327D" w:rsidRDefault="002F327D" w:rsidP="002F327D">
      <w:pPr>
        <w:spacing w:line="240" w:lineRule="exact"/>
        <w:jc w:val="both"/>
        <w:rPr>
          <w:sz w:val="24"/>
          <w:szCs w:val="24"/>
        </w:rPr>
      </w:pPr>
    </w:p>
    <w:p w:rsidR="002F327D" w:rsidRDefault="002F327D" w:rsidP="002F327D">
      <w:pPr>
        <w:spacing w:line="240" w:lineRule="exact"/>
        <w:jc w:val="both"/>
        <w:rPr>
          <w:sz w:val="24"/>
          <w:szCs w:val="24"/>
        </w:rPr>
      </w:pPr>
      <w:r w:rsidRPr="00045C26">
        <w:rPr>
          <w:sz w:val="24"/>
          <w:szCs w:val="24"/>
        </w:rPr>
        <w:t>(</w:t>
      </w:r>
      <w:r>
        <w:t xml:space="preserve">Esas sözleşme ile yıllık karın %5’inden fazla ve ödenmiş sermayenin %20’sini aşabilecek tutarda yedek akçe ayrılması </w:t>
      </w:r>
      <w:proofErr w:type="spellStart"/>
      <w:proofErr w:type="gramStart"/>
      <w:r>
        <w:t>belirlenebilir.</w:t>
      </w:r>
      <w:r w:rsidRPr="00045C26">
        <w:rPr>
          <w:sz w:val="24"/>
          <w:szCs w:val="24"/>
        </w:rPr>
        <w:t>Pay</w:t>
      </w:r>
      <w:proofErr w:type="spellEnd"/>
      <w:proofErr w:type="gramEnd"/>
      <w:r w:rsidRPr="00045C26">
        <w:rPr>
          <w:sz w:val="24"/>
          <w:szCs w:val="24"/>
        </w:rPr>
        <w:t xml:space="preserve"> sahiplerine esas sözleşme ile yüzde beşten daha yüksek bir oranda kar dağıtımı öngörülebilir. Esas sözleşme ile kar dağıtımına ilişkin farklı bir hesaplama yöntemi belirlenebilir.</w:t>
      </w:r>
      <w:r>
        <w:rPr>
          <w:sz w:val="24"/>
          <w:szCs w:val="24"/>
        </w:rPr>
        <w:t xml:space="preserve"> Esas sözleşme ile pay sahiplerine kar payı dağıtımından önce isteğe bağlı yedek akçe ayrılması öngörülebilir. Bu durumda, genel kanuni yedek akçe ile birlikte söz konusu yedek akçeler ayrılmadıkça kar dağıtımı yapılamaz.  </w:t>
      </w:r>
      <w:r w:rsidRPr="00045C26">
        <w:rPr>
          <w:sz w:val="24"/>
          <w:szCs w:val="24"/>
        </w:rPr>
        <w:t xml:space="preserve">Madde </w:t>
      </w:r>
      <w:r>
        <w:rPr>
          <w:sz w:val="24"/>
          <w:szCs w:val="24"/>
        </w:rPr>
        <w:t xml:space="preserve">521, </w:t>
      </w:r>
      <w:r w:rsidRPr="00045C26">
        <w:rPr>
          <w:sz w:val="24"/>
          <w:szCs w:val="24"/>
        </w:rPr>
        <w:t>511, 508/1</w:t>
      </w:r>
      <w:proofErr w:type="gramStart"/>
      <w:r w:rsidRPr="00045C26">
        <w:rPr>
          <w:sz w:val="24"/>
          <w:szCs w:val="24"/>
        </w:rPr>
        <w:t>)</w:t>
      </w:r>
      <w:proofErr w:type="gramEnd"/>
    </w:p>
    <w:p w:rsidR="002F327D" w:rsidRDefault="002F327D" w:rsidP="002F327D">
      <w:pPr>
        <w:spacing w:line="240" w:lineRule="exact"/>
        <w:jc w:val="both"/>
        <w:rPr>
          <w:sz w:val="24"/>
          <w:szCs w:val="24"/>
        </w:rPr>
      </w:pPr>
    </w:p>
    <w:p w:rsidR="002F327D" w:rsidRDefault="002F327D" w:rsidP="002F327D">
      <w:pPr>
        <w:spacing w:line="240" w:lineRule="exact"/>
        <w:jc w:val="both"/>
        <w:rPr>
          <w:sz w:val="24"/>
          <w:szCs w:val="24"/>
        </w:rPr>
      </w:pPr>
    </w:p>
    <w:p w:rsidR="002F327D" w:rsidRPr="00FE04D5" w:rsidRDefault="002F327D" w:rsidP="002F327D">
      <w:pPr>
        <w:pStyle w:val="NormalWeb"/>
        <w:jc w:val="both"/>
        <w:rPr>
          <w:b/>
          <w:bCs/>
          <w:u w:val="single"/>
        </w:rPr>
      </w:pPr>
      <w:r>
        <w:rPr>
          <w:b/>
          <w:bCs/>
          <w:u w:val="single"/>
        </w:rPr>
        <w:t>YEDEK</w:t>
      </w:r>
      <w:r w:rsidRPr="00FE04D5">
        <w:rPr>
          <w:b/>
          <w:bCs/>
          <w:u w:val="single"/>
        </w:rPr>
        <w:t xml:space="preserve"> AKÇE:</w:t>
      </w:r>
    </w:p>
    <w:p w:rsidR="002F327D" w:rsidRPr="00FE04D5" w:rsidRDefault="002F327D" w:rsidP="002F327D">
      <w:pPr>
        <w:pStyle w:val="NormalWeb"/>
        <w:jc w:val="both"/>
      </w:pPr>
      <w:r>
        <w:rPr>
          <w:b/>
          <w:bCs/>
          <w:u w:val="single"/>
        </w:rPr>
        <w:t>Madde 13</w:t>
      </w:r>
      <w:r w:rsidRPr="00FE04D5">
        <w:rPr>
          <w:b/>
          <w:bCs/>
          <w:u w:val="single"/>
        </w:rPr>
        <w:t xml:space="preserve">- </w:t>
      </w:r>
      <w:r w:rsidRPr="00FE04D5">
        <w:t>Şirket tarafından ayrılan ihtiyat akçeleri hakkında Türk Ticaret Kanununun 519 ila 523. maddeleri hükümleri uygulanır.</w:t>
      </w:r>
    </w:p>
    <w:p w:rsidR="002F327D" w:rsidRPr="00FE04D5" w:rsidRDefault="002F327D" w:rsidP="002F327D">
      <w:pPr>
        <w:pStyle w:val="NormalWeb"/>
        <w:jc w:val="both"/>
        <w:rPr>
          <w:b/>
          <w:bCs/>
          <w:u w:val="single"/>
        </w:rPr>
      </w:pPr>
      <w:r w:rsidRPr="00FE04D5">
        <w:rPr>
          <w:b/>
          <w:bCs/>
          <w:u w:val="single"/>
        </w:rPr>
        <w:t>KANUNİ HÜKÜMLER:</w:t>
      </w:r>
    </w:p>
    <w:p w:rsidR="002F327D" w:rsidRPr="00FE04D5" w:rsidRDefault="002F327D" w:rsidP="002F327D">
      <w:pPr>
        <w:pStyle w:val="NormalWeb"/>
        <w:jc w:val="both"/>
        <w:rPr>
          <w:b/>
          <w:bCs/>
          <w:u w:val="single"/>
        </w:rPr>
      </w:pPr>
      <w:r>
        <w:rPr>
          <w:b/>
          <w:bCs/>
          <w:u w:val="single"/>
        </w:rPr>
        <w:t>Madde14</w:t>
      </w:r>
      <w:r w:rsidRPr="00FE04D5">
        <w:rPr>
          <w:b/>
          <w:bCs/>
          <w:u w:val="single"/>
        </w:rPr>
        <w:t>-</w:t>
      </w:r>
      <w:r w:rsidRPr="00487591">
        <w:rPr>
          <w:b/>
          <w:bCs/>
        </w:rPr>
        <w:t xml:space="preserve"> </w:t>
      </w:r>
      <w:r w:rsidRPr="00FE04D5">
        <w:t xml:space="preserve">Bu </w:t>
      </w:r>
      <w:r>
        <w:t>esas s</w:t>
      </w:r>
      <w:r w:rsidRPr="00FE04D5">
        <w:t>özleşmede bulunmayan hususlar hakkında Türk Ticaret Kanunu hükümleri uygulanır.</w:t>
      </w:r>
    </w:p>
    <w:p w:rsidR="002F327D" w:rsidRPr="00FE04D5" w:rsidRDefault="002F327D" w:rsidP="002F327D">
      <w:pPr>
        <w:pStyle w:val="NormalWeb"/>
        <w:jc w:val="both"/>
        <w:rPr>
          <w:b/>
          <w:bCs/>
        </w:rPr>
      </w:pPr>
      <w:r w:rsidRPr="00FE04D5">
        <w:t> </w:t>
      </w:r>
      <w:r w:rsidRPr="00FE04D5">
        <w:rPr>
          <w:b/>
          <w:bCs/>
        </w:rPr>
        <w:t>KURUCULAR</w:t>
      </w:r>
    </w:p>
    <w:tbl>
      <w:tblPr>
        <w:tblW w:w="9090" w:type="dxa"/>
        <w:tblCellSpacing w:w="0" w:type="dxa"/>
        <w:tblCellMar>
          <w:top w:w="105" w:type="dxa"/>
          <w:left w:w="105" w:type="dxa"/>
          <w:bottom w:w="105" w:type="dxa"/>
          <w:right w:w="105" w:type="dxa"/>
        </w:tblCellMar>
        <w:tblLook w:val="0000" w:firstRow="0" w:lastRow="0" w:firstColumn="0" w:lastColumn="0" w:noHBand="0" w:noVBand="0"/>
      </w:tblPr>
      <w:tblGrid>
        <w:gridCol w:w="5363"/>
        <w:gridCol w:w="3727"/>
      </w:tblGrid>
      <w:tr w:rsidR="002F327D" w:rsidRPr="00FE04D5" w:rsidTr="001C4336">
        <w:trPr>
          <w:tblCellSpacing w:w="0" w:type="dxa"/>
        </w:trPr>
        <w:tc>
          <w:tcPr>
            <w:tcW w:w="2950" w:type="pct"/>
            <w:shd w:val="clear" w:color="auto" w:fill="auto"/>
          </w:tcPr>
          <w:p w:rsidR="002F327D" w:rsidRPr="00FE04D5" w:rsidRDefault="002F327D" w:rsidP="001C4336">
            <w:pPr>
              <w:pStyle w:val="NormalWeb"/>
              <w:jc w:val="both"/>
            </w:pPr>
            <w:r w:rsidRPr="00FE04D5">
              <w:rPr>
                <w:u w:val="single"/>
              </w:rPr>
              <w:t>Kurucunun Adı ve Soyadı</w:t>
            </w:r>
            <w:r w:rsidRPr="00FE04D5">
              <w:t xml:space="preserve"> </w:t>
            </w:r>
          </w:p>
        </w:tc>
        <w:tc>
          <w:tcPr>
            <w:tcW w:w="2050" w:type="pct"/>
            <w:shd w:val="clear" w:color="auto" w:fill="auto"/>
          </w:tcPr>
          <w:p w:rsidR="002F327D" w:rsidRPr="00FE04D5" w:rsidRDefault="002F327D" w:rsidP="001C4336">
            <w:pPr>
              <w:pStyle w:val="NormalWeb"/>
              <w:jc w:val="both"/>
            </w:pPr>
            <w:r w:rsidRPr="00FE04D5">
              <w:rPr>
                <w:u w:val="single"/>
              </w:rPr>
              <w:t>İmza</w:t>
            </w:r>
          </w:p>
        </w:tc>
      </w:tr>
    </w:tbl>
    <w:p w:rsidR="000E48BD" w:rsidRDefault="000E48BD">
      <w:bookmarkStart w:id="0" w:name="_GoBack"/>
      <w:bookmarkEnd w:id="0"/>
    </w:p>
    <w:sectPr w:rsidR="000E48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953"/>
    <w:rsid w:val="000E48BD"/>
    <w:rsid w:val="002F327D"/>
    <w:rsid w:val="00EA49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097E7-3C15-42D9-8826-095ED7A99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27D"/>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2F327D"/>
    <w:pPr>
      <w:spacing w:before="100" w:beforeAutospacing="1" w:after="100" w:afterAutospacing="1"/>
    </w:pPr>
    <w:rPr>
      <w:sz w:val="24"/>
      <w:szCs w:val="24"/>
    </w:rPr>
  </w:style>
  <w:style w:type="character" w:styleId="Gl">
    <w:name w:val="Strong"/>
    <w:qFormat/>
    <w:rsid w:val="002F327D"/>
    <w:rPr>
      <w:b/>
      <w:bCs/>
    </w:rPr>
  </w:style>
  <w:style w:type="paragraph" w:styleId="DipnotMetni">
    <w:name w:val="footnote text"/>
    <w:basedOn w:val="Normal"/>
    <w:link w:val="DipnotMetniChar"/>
    <w:rsid w:val="002F327D"/>
  </w:style>
  <w:style w:type="character" w:customStyle="1" w:styleId="DipnotMetniChar">
    <w:name w:val="Dipnot Metni Char"/>
    <w:basedOn w:val="VarsaylanParagrafYazTipi"/>
    <w:link w:val="DipnotMetni"/>
    <w:rsid w:val="002F327D"/>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1264</Words>
  <Characters>7208</Characters>
  <Application>Microsoft Office Word</Application>
  <DocSecurity>0</DocSecurity>
  <Lines>60</Lines>
  <Paragraphs>16</Paragraphs>
  <ScaleCrop>false</ScaleCrop>
  <Company/>
  <LinksUpToDate>false</LinksUpToDate>
  <CharactersWithSpaces>8456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Kosgeb</dc:creator>
  <cp:keywords/>
  <dc:description/>
  <cp:lastModifiedBy>Kosgeb</cp:lastModifiedBy>
  <cp:revision>2</cp:revision>
  <dcterms:created xsi:type="dcterms:W3CDTF">2015-03-12T08:44:00Z</dcterms:created>
  <dcterms:modified xsi:type="dcterms:W3CDTF">2015-03-12T08:44:00Z</dcterms:modified>
</cp:coreProperties>
</file>