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rsidTr="00396C07">
        <w:trPr>
          <w:trHeight w:val="915"/>
        </w:trPr>
        <w:tc>
          <w:tcPr>
            <w:tcW w:w="5644" w:type="dxa"/>
            <w:vAlign w:val="center"/>
          </w:tcPr>
          <w:p w:rsidR="003D60DA" w:rsidRDefault="00817D01" w:rsidP="00773BC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773BC6">
              <w:rPr>
                <w:rFonts w:asciiTheme="majorHAnsi" w:eastAsiaTheme="majorEastAsia" w:hAnsiTheme="majorHAnsi" w:cstheme="majorBidi"/>
                <w:sz w:val="36"/>
                <w:szCs w:val="36"/>
              </w:rPr>
              <w:t>ŞUBAT</w:t>
            </w:r>
            <w:r w:rsidR="00AD2065">
              <w:rPr>
                <w:rFonts w:asciiTheme="majorHAnsi" w:eastAsiaTheme="majorEastAsia" w:hAnsiTheme="majorHAnsi" w:cstheme="majorBidi"/>
                <w:sz w:val="36"/>
                <w:szCs w:val="36"/>
              </w:rPr>
              <w:t xml:space="preserve"> </w:t>
            </w:r>
          </w:p>
          <w:p w:rsidR="00AD2065" w:rsidRDefault="00AD2065" w:rsidP="00773BC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445DB0" w:rsidP="00773BC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03</w:t>
            </w:r>
            <w:r w:rsidR="00BC294E">
              <w:rPr>
                <w:rFonts w:asciiTheme="majorHAnsi" w:eastAsiaTheme="majorEastAsia" w:hAnsiTheme="majorHAnsi" w:cstheme="majorBidi"/>
                <w:bCs/>
                <w:sz w:val="28"/>
                <w:szCs w:val="36"/>
              </w:rPr>
              <w:t xml:space="preserve"> </w:t>
            </w:r>
            <w:r w:rsidR="00773BC6">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Pr="003B0750" w:rsidRDefault="00AD2065" w:rsidP="00AD2065">
      <w:pPr>
        <w:pStyle w:val="stbilgi"/>
        <w:rPr>
          <w:color w:val="FF0000"/>
        </w:rPr>
      </w:pPr>
    </w:p>
    <w:p w:rsidR="00652FB8" w:rsidRPr="00E314F9" w:rsidRDefault="00652FB8" w:rsidP="003B0750">
      <w:pPr>
        <w:jc w:val="both"/>
        <w:rPr>
          <w:sz w:val="24"/>
          <w:szCs w:val="24"/>
        </w:rPr>
      </w:pPr>
      <w:r w:rsidRPr="00E314F9">
        <w:rPr>
          <w:sz w:val="24"/>
          <w:szCs w:val="24"/>
        </w:rPr>
        <w:t xml:space="preserve">Şubat ayı Tüfe rakamlarına bakıldığında 0,7 puan artış olduğu görülmektedir. </w:t>
      </w:r>
      <w:proofErr w:type="gramStart"/>
      <w:r w:rsidRPr="00E314F9">
        <w:rPr>
          <w:sz w:val="24"/>
          <w:szCs w:val="24"/>
        </w:rPr>
        <w:t xml:space="preserve">Bir önceki ay ise söz konusu değer 1,1 idi. Azalış olması genel olarak olumlu olsa da, yıllık artışa bakıldığında (yani ilk aylık ortalama artış oranının devaam etmesi durumunda sene sonunda) yüzde 10’un üzerinde bir artış olması durumu son yıllarda 10 bantının altında hatta 8 civarındaki enflasyon rakamınınnın tekrar çift hanelere çıkması mümkün gözükmektedir. </w:t>
      </w:r>
      <w:proofErr w:type="gramEnd"/>
    </w:p>
    <w:p w:rsidR="00652FB8" w:rsidRPr="00E314F9" w:rsidRDefault="00652FB8" w:rsidP="003B0750">
      <w:pPr>
        <w:jc w:val="both"/>
        <w:rPr>
          <w:sz w:val="24"/>
          <w:szCs w:val="24"/>
        </w:rPr>
      </w:pPr>
    </w:p>
    <w:p w:rsidR="00652FB8" w:rsidRPr="00E314F9" w:rsidRDefault="003B0750" w:rsidP="003B0750">
      <w:pPr>
        <w:jc w:val="both"/>
        <w:rPr>
          <w:sz w:val="24"/>
          <w:szCs w:val="24"/>
        </w:rPr>
      </w:pPr>
      <w:r w:rsidRPr="00E314F9">
        <w:rPr>
          <w:sz w:val="24"/>
          <w:szCs w:val="24"/>
        </w:rPr>
        <w:t>E</w:t>
      </w:r>
      <w:r w:rsidR="00652FB8" w:rsidRPr="00E314F9">
        <w:rPr>
          <w:sz w:val="24"/>
          <w:szCs w:val="24"/>
        </w:rPr>
        <w:t xml:space="preserve">nflasyon beklenti anketine baktığımızda </w:t>
      </w:r>
      <w:r w:rsidRPr="00E314F9">
        <w:rPr>
          <w:sz w:val="24"/>
          <w:szCs w:val="24"/>
        </w:rPr>
        <w:t xml:space="preserve">ise beklenen enflasyonun şubat ayı için 0,49 olduğu görülebilir. Gerçekleşen enflasyonun beklenen enflasyondan yüksek çıkması ekonominin </w:t>
      </w:r>
      <w:bookmarkStart w:id="0" w:name="_GoBack"/>
      <w:bookmarkEnd w:id="0"/>
      <w:r w:rsidRPr="00E314F9">
        <w:rPr>
          <w:sz w:val="24"/>
          <w:szCs w:val="24"/>
        </w:rPr>
        <w:t>seyrettiği yönün olumsuz olduğuna ilişkin bir veri sunmaktadır Mart ayı için beklenen enflasyonun şubat ayı beklentilerinden daha da fazla olduğunu düşündüğümüzde gerçekleşecek Mart ayı enflasyon rakamının daha da yüksek olacağına dair bir ön sinyal olarak almak mümkün olabilir. Bu durumda sene sonu enflasyon değeri son yıllardaki genel gidişattan daha farklı bir şekilde sonuçlanabilir. Çift hanelere doğru yaklaşan bir enflasyon değerine doğru ekoonmi gidiyormuş gibi biz izlenim bu rakamlardan hareketle beklenebilir.</w:t>
      </w:r>
    </w:p>
    <w:p w:rsidR="003B0750" w:rsidRPr="00E314F9" w:rsidRDefault="003B0750" w:rsidP="003B0750">
      <w:pPr>
        <w:jc w:val="both"/>
        <w:rPr>
          <w:sz w:val="24"/>
          <w:szCs w:val="24"/>
        </w:rPr>
      </w:pPr>
    </w:p>
    <w:p w:rsidR="003B0750" w:rsidRPr="00E314F9" w:rsidRDefault="003B0750" w:rsidP="003B0750">
      <w:pPr>
        <w:jc w:val="both"/>
        <w:rPr>
          <w:sz w:val="24"/>
          <w:szCs w:val="24"/>
        </w:rPr>
      </w:pPr>
      <w:r w:rsidRPr="00E314F9">
        <w:rPr>
          <w:sz w:val="24"/>
          <w:szCs w:val="24"/>
        </w:rPr>
        <w:t>Giyim ve ayakkabı sektçründeki indirimler olmasa bu dönem enflasyon rakamı çok daha büyük çıkacaktı. Özellikle gıda ve alkolsüz içecekler grubunda fiyatlardaki ciddi artış gerçekleşen enflasyon rakamının beklenenden yüksek çıkmasına sebep oldu. Diğer artış kaynağı ise hizmetler sektöründeki fiyat artışlarından özellikle lokantıcılık ve otelcilik fiyatlarındaki artışlardan kaynaklandı.</w:t>
      </w:r>
    </w:p>
    <w:p w:rsidR="00EA47F7" w:rsidRPr="00E314F9" w:rsidRDefault="00EA47F7" w:rsidP="003B0750">
      <w:pPr>
        <w:jc w:val="both"/>
        <w:rPr>
          <w:sz w:val="24"/>
          <w:szCs w:val="24"/>
        </w:rPr>
      </w:pPr>
    </w:p>
    <w:p w:rsidR="00EA47F7" w:rsidRPr="00E314F9" w:rsidRDefault="00EA47F7" w:rsidP="003B0750">
      <w:pPr>
        <w:jc w:val="both"/>
        <w:rPr>
          <w:sz w:val="24"/>
          <w:szCs w:val="24"/>
        </w:rPr>
      </w:pPr>
      <w:r w:rsidRPr="00E314F9">
        <w:rPr>
          <w:sz w:val="24"/>
          <w:szCs w:val="24"/>
        </w:rPr>
        <w:t>Genel olarak bakıldığında talep yanlı ortaya çıkan ılımlı bir enflasyon işlerin açıldığı anlamına da gelecektir. Bu anlamda stokların eridiği ekonomimizde, ekonnomik canlanmanın da başladığını enflasyon rakamlarından hareketle yorumlamak mümkündür.</w:t>
      </w:r>
    </w:p>
    <w:p w:rsidR="003B0750" w:rsidRPr="00E314F9" w:rsidRDefault="003B0750" w:rsidP="003B0750">
      <w:pPr>
        <w:jc w:val="both"/>
        <w:rPr>
          <w:sz w:val="24"/>
          <w:szCs w:val="24"/>
        </w:rPr>
      </w:pPr>
    </w:p>
    <w:p w:rsidR="003B0750" w:rsidRPr="00E314F9" w:rsidRDefault="003B0750" w:rsidP="003B0750">
      <w:pPr>
        <w:ind w:left="7200"/>
        <w:jc w:val="both"/>
      </w:pPr>
      <w:r w:rsidRPr="00E314F9">
        <w:rPr>
          <w:sz w:val="24"/>
          <w:szCs w:val="24"/>
        </w:rPr>
        <w:t xml:space="preserve">           Ahmet Arif Eren</w:t>
      </w:r>
    </w:p>
    <w:p w:rsidR="003B0750" w:rsidRDefault="003B0750" w:rsidP="003B0750">
      <w:pPr>
        <w:jc w:val="both"/>
        <w:rPr>
          <w:b/>
        </w:rPr>
      </w:pPr>
    </w:p>
    <w:p w:rsidR="003B0750" w:rsidRDefault="003B0750" w:rsidP="003B0750">
      <w:pPr>
        <w:jc w:val="both"/>
        <w:rPr>
          <w:b/>
        </w:rPr>
      </w:pPr>
    </w:p>
    <w:p w:rsidR="00652FB8" w:rsidRDefault="00652FB8" w:rsidP="00AD2065">
      <w:pPr>
        <w:rPr>
          <w:b/>
        </w:rPr>
      </w:pPr>
    </w:p>
    <w:p w:rsidR="003B0750" w:rsidRDefault="003B0750" w:rsidP="00AD2065">
      <w:pPr>
        <w:rPr>
          <w:b/>
        </w:rPr>
      </w:pPr>
    </w:p>
    <w:p w:rsidR="003B0750" w:rsidRDefault="003B0750" w:rsidP="00AD2065">
      <w:pPr>
        <w:rPr>
          <w:b/>
        </w:rPr>
      </w:pPr>
    </w:p>
    <w:p w:rsidR="00AD2065" w:rsidRPr="00EF4E45" w:rsidRDefault="00773BC6" w:rsidP="00AD2065">
      <w:pPr>
        <w:rPr>
          <w:b/>
        </w:rPr>
      </w:pPr>
      <w:r>
        <w:rPr>
          <w:b/>
        </w:rPr>
        <w:t>Şubat 2015</w:t>
      </w:r>
      <w:r w:rsidR="00EF4E45" w:rsidRPr="00EF4E45">
        <w:rPr>
          <w:b/>
        </w:rPr>
        <w:t xml:space="preserve"> Tüketici Fiyat Endeksi’ne(TÜFE) ilişkin veriler Türkiye İstat</w:t>
      </w:r>
      <w:r w:rsidR="00445DB0">
        <w:rPr>
          <w:b/>
        </w:rPr>
        <w:t>istik Kurumu (TÜİK) tarafından 3</w:t>
      </w:r>
      <w:r w:rsidR="00EF4E45" w:rsidRPr="00EF4E45">
        <w:rPr>
          <w:b/>
        </w:rPr>
        <w:t xml:space="preserve"> </w:t>
      </w:r>
      <w:r>
        <w:rPr>
          <w:b/>
        </w:rPr>
        <w:t>Mart</w:t>
      </w:r>
      <w:r w:rsidR="00817D01">
        <w:rPr>
          <w:b/>
        </w:rPr>
        <w:t xml:space="preserve">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1" w:name="_MON_1473601776"/>
    <w:bookmarkEnd w:id="1"/>
    <w:p w:rsidR="000701FD" w:rsidRDefault="00500648"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7" o:title=""/>
          </v:shape>
          <o:OLEObject Type="Embed" ProgID="Excel.Sheet.12" ShapeID="_x0000_i1025" DrawAspect="Content" ObjectID="_1487071570"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755EFC" w:rsidP="00C144CC">
      <w:pPr>
        <w:jc w:val="both"/>
      </w:pPr>
      <w:r>
        <w:t>Şubat</w:t>
      </w:r>
      <w:r w:rsidR="00574C38" w:rsidRPr="00C144CC">
        <w:t xml:space="preserve"> ayında Türkiye (TR) Geneli TÜFE endeksi (Tablo 1) bir önceki aya (</w:t>
      </w:r>
      <w:r w:rsidR="00500648">
        <w:t>Ocak 2015</w:t>
      </w:r>
      <w:r w:rsidR="00574C38">
        <w:t xml:space="preserve">) göre yüzde </w:t>
      </w:r>
      <w:r w:rsidR="00500648">
        <w:t>0,7 artış göstererek 252,3</w:t>
      </w:r>
      <w:r w:rsidR="00574C38" w:rsidRPr="00C144CC">
        <w:t xml:space="preserve"> değeri</w:t>
      </w:r>
      <w:r w:rsidR="00574C38">
        <w:t>ni</w:t>
      </w:r>
      <w:r w:rsidR="00574C38" w:rsidRPr="00C144CC">
        <w:t xml:space="preserve"> almıştır</w:t>
      </w:r>
      <w:r w:rsidR="00574C38">
        <w:t xml:space="preserve">. </w:t>
      </w:r>
      <w:r w:rsidR="00574C38" w:rsidRPr="00C144CC">
        <w:t xml:space="preserve">Endeks bir önceki yılın aynı ayına göre yüzde </w:t>
      </w:r>
      <w:r w:rsidR="00500648">
        <w:t>7,55</w:t>
      </w:r>
      <w:r w:rsidR="00574C38">
        <w:t xml:space="preserve"> </w:t>
      </w:r>
      <w:r w:rsidR="00574C38" w:rsidRPr="00C144CC">
        <w:t xml:space="preserve">oranında artış göstermiştir. </w:t>
      </w:r>
      <w:r w:rsidR="003C5DE5">
        <w:t>Şubat</w:t>
      </w:r>
      <w:r w:rsidR="00E50C57">
        <w:t xml:space="preserve"> (2015</w:t>
      </w:r>
      <w:r w:rsidR="00574C38" w:rsidRPr="00C144CC">
        <w:t xml:space="preserve">) ayında ana harcama grupları itibariyle en yüksek artış </w:t>
      </w:r>
      <w:r w:rsidR="003C5DE5">
        <w:t>yüzde 2</w:t>
      </w:r>
      <w:r w:rsidR="00E50C57">
        <w:t>,</w:t>
      </w:r>
      <w:r w:rsidR="003C5DE5">
        <w:t>5</w:t>
      </w:r>
      <w:r w:rsidR="00853A88">
        <w:t>9</w:t>
      </w:r>
      <w:r w:rsidR="00574C38" w:rsidRPr="00C144CC">
        <w:t xml:space="preserve"> ile</w:t>
      </w:r>
      <w:r w:rsidR="003C5DE5">
        <w:t xml:space="preserve"> gıda ve alkolsüz içecekler</w:t>
      </w:r>
      <w:r w:rsidR="00574C38" w:rsidRPr="00C144CC">
        <w:t xml:space="preserve"> grubunda yaşanırken, bunu yüzde </w:t>
      </w:r>
      <w:r w:rsidR="003E4EC1">
        <w:t>1,77</w:t>
      </w:r>
      <w:r w:rsidR="00574C38" w:rsidRPr="00C144CC">
        <w:t xml:space="preserve"> artışla </w:t>
      </w:r>
      <w:r w:rsidR="003E4EC1">
        <w:t>ulaştırma ve</w:t>
      </w:r>
      <w:r w:rsidR="00574C38" w:rsidRPr="00C144CC">
        <w:t xml:space="preserve"> yüzde </w:t>
      </w:r>
      <w:r w:rsidR="003E4EC1">
        <w:t>1,06</w:t>
      </w:r>
      <w:r w:rsidR="00574C38" w:rsidRPr="00C144CC">
        <w:t xml:space="preserve"> artışla </w:t>
      </w:r>
      <w:r w:rsidR="003E4EC1">
        <w:t>lokanta ve 5oteller</w:t>
      </w:r>
      <w:r w:rsidR="00853A88">
        <w:t xml:space="preserve"> </w:t>
      </w:r>
      <w:r w:rsidR="00574C38">
        <w:t>grubu</w:t>
      </w:r>
      <w:r w:rsidR="00574C38" w:rsidRPr="00C144CC">
        <w:t xml:space="preserve"> takip etmektedir. </w:t>
      </w:r>
      <w:r w:rsidR="00C05F0D">
        <w:t>D</w:t>
      </w:r>
      <w:r w:rsidR="00574C38" w:rsidRPr="00C144CC">
        <w:t>üşüş gösteren ana</w:t>
      </w:r>
      <w:r w:rsidR="00C05F0D">
        <w:t xml:space="preserve"> harcama kategorileri ise yüzde </w:t>
      </w:r>
      <w:r w:rsidR="00853A88">
        <w:t>6,98</w:t>
      </w:r>
      <w:r w:rsidR="00574C38" w:rsidRPr="00C144CC">
        <w:t xml:space="preserve"> (negatif) i</w:t>
      </w:r>
      <w:r w:rsidR="00574C38">
        <w:t xml:space="preserve">le </w:t>
      </w:r>
      <w:r w:rsidR="00853A88">
        <w:t>giyim ve ayakkabı</w:t>
      </w:r>
      <w:r w:rsidR="00C05F0D">
        <w:t xml:space="preserve"> ve yüzde 0,</w:t>
      </w:r>
      <w:r w:rsidR="003E4EC1">
        <w:t>44</w:t>
      </w:r>
      <w:r w:rsidR="00C05F0D">
        <w:t xml:space="preserve"> (negatif) ile </w:t>
      </w:r>
      <w:r w:rsidR="003E4EC1">
        <w:t>alkollü içerecekler ve tütün</w:t>
      </w:r>
      <w:r w:rsidR="00C05F0D">
        <w:t xml:space="preserve"> grubudur.</w:t>
      </w:r>
      <w:r w:rsidR="00574C38" w:rsidRPr="00C144CC">
        <w:t xml:space="preserve"> </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113AD5">
        <w:t>67</w:t>
      </w:r>
      <w:r w:rsidRPr="00D2299D">
        <w:t xml:space="preserve">) </w:t>
      </w:r>
      <w:r w:rsidR="00853A88">
        <w:t>gıda ve alkolsüz</w:t>
      </w:r>
      <w:r w:rsidR="00C144CC" w:rsidRPr="00D2299D">
        <w:t xml:space="preserve"> </w:t>
      </w:r>
      <w:r w:rsidR="00853A88">
        <w:t xml:space="preserve">içecekler </w:t>
      </w:r>
      <w:r w:rsidR="00113AD5">
        <w:t>grubundan</w:t>
      </w:r>
      <w:r w:rsidRPr="00D2299D">
        <w:t xml:space="preserve"> gelmektedir. </w:t>
      </w:r>
      <w:r w:rsidR="00113AD5">
        <w:t xml:space="preserve">Alkollü içecekler ve </w:t>
      </w:r>
      <w:r w:rsidR="00113AD5">
        <w:lastRenderedPageBreak/>
        <w:t>tütün grubunun</w:t>
      </w:r>
      <w:r w:rsidR="0070700B">
        <w:t xml:space="preserve"> </w:t>
      </w:r>
      <w:r w:rsidRPr="00D2299D">
        <w:t>etkisi</w:t>
      </w:r>
      <w:r w:rsidR="0070700B">
        <w:t xml:space="preserve"> (0,</w:t>
      </w:r>
      <w:r w:rsidR="00113AD5">
        <w:t>02</w:t>
      </w:r>
      <w:r w:rsidR="0070700B">
        <w:t>)</w:t>
      </w:r>
      <w:r w:rsidRPr="00D2299D">
        <w:t xml:space="preserve"> negatif</w:t>
      </w:r>
      <w:r w:rsidR="0070700B">
        <w:t xml:space="preserve"> ve </w:t>
      </w:r>
      <w:r w:rsidR="00853A88">
        <w:t>giyim ve ayakkabı</w:t>
      </w:r>
      <w:r w:rsidR="0070700B">
        <w:t xml:space="preserve"> grubunun da (0,</w:t>
      </w:r>
      <w:r w:rsidR="00853A88">
        <w:t>5</w:t>
      </w:r>
      <w:r w:rsidR="00113AD5">
        <w:t>2</w:t>
      </w:r>
      <w:r w:rsidR="0070700B">
        <w:t>)</w:t>
      </w:r>
      <w:r w:rsidRPr="00D2299D">
        <w:t xml:space="preserve"> </w:t>
      </w:r>
      <w:r w:rsidR="0070700B">
        <w:t xml:space="preserve">negatif </w:t>
      </w:r>
      <w:r w:rsidRPr="00D2299D">
        <w:t>olarak gerçekleşmiştir</w:t>
      </w:r>
      <w:r w:rsidR="00C144CC" w:rsidRPr="0070186C">
        <w:rPr>
          <w:b/>
        </w:rPr>
        <w:t>.</w:t>
      </w:r>
    </w:p>
    <w:p w:rsidR="00C144CC" w:rsidRPr="00C144CC" w:rsidRDefault="006D41B5" w:rsidP="00C144CC">
      <w:pPr>
        <w:jc w:val="both"/>
      </w:pPr>
      <w:r w:rsidRPr="00C144CC">
        <w:t>endeksleri daha çok öncü olmayan (gecikmeli) bir değişken olduğundan geleceğe ilişkin tahmin konusunda önemli bilgiler sağlamasa da, işlenmemiş</w:t>
      </w:r>
      <w:r w:rsidR="00C144CC">
        <w:t xml:space="preserve"> </w:t>
      </w:r>
      <w:r w:rsidRPr="00C144CC">
        <w:t>gıda ve enerji hariç endeksindeki yüzde</w:t>
      </w:r>
      <w:r w:rsidR="00C97D83">
        <w:t xml:space="preserve"> 0,01</w:t>
      </w:r>
      <w:r w:rsidRPr="00C144CC">
        <w:t xml:space="preserve"> artış</w:t>
      </w:r>
      <w:r w:rsidR="00C144CC">
        <w:t xml:space="preserve"> </w:t>
      </w:r>
      <w:r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70700B">
        <w:t>i bir önceki aya göre yüzde 0,</w:t>
      </w:r>
      <w:r w:rsidR="00113AD5">
        <w:t>01</w:t>
      </w:r>
      <w:r w:rsidR="006D41B5" w:rsidRPr="00C144CC">
        <w:t xml:space="preserve"> oranında artmıştır. Bu endeks son 12</w:t>
      </w:r>
      <w:r w:rsidR="0070700B">
        <w:t xml:space="preserve"> ayda ortalama olarak yüzde 9,</w:t>
      </w:r>
      <w:r w:rsidR="00113AD5">
        <w:t>32</w:t>
      </w:r>
      <w:r w:rsidR="006D41B5" w:rsidRPr="00C144CC">
        <w:t xml:space="preserve"> oranında artarak endeks 23</w:t>
      </w:r>
      <w:r w:rsidR="00B40175">
        <w:t>7</w:t>
      </w:r>
      <w:r w:rsidR="00C97D83">
        <w:t>,96</w:t>
      </w:r>
      <w:r w:rsidR="006D41B5" w:rsidRPr="00C144CC">
        <w:t xml:space="preserve"> değer</w:t>
      </w:r>
      <w:r>
        <w:t>i</w:t>
      </w:r>
      <w:r w:rsidR="00CC7D5F">
        <w:t>ni</w:t>
      </w:r>
      <w:r w:rsidR="0070700B">
        <w:t xml:space="preserve"> almı</w:t>
      </w:r>
      <w:r w:rsidR="00C97D83">
        <w:t>ştır. Genel endeks yüzde 0,7</w:t>
      </w:r>
      <w:r w:rsidR="006D41B5" w:rsidRPr="00C144CC">
        <w:t xml:space="preserve"> artarken işlenmemiş</w:t>
      </w:r>
      <w:r w:rsidR="00C144CC">
        <w:t xml:space="preserve"> </w:t>
      </w:r>
      <w:r w:rsidR="006D41B5" w:rsidRPr="00C144CC">
        <w:t xml:space="preserve">gıda ve enerji hariç </w:t>
      </w:r>
      <w:r>
        <w:t>(öz</w:t>
      </w:r>
      <w:r w:rsidR="00113AD5">
        <w:t>el kapsamlı) endeksin yüzde 0,01</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B40175">
        <w:t>olmadığına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C97D83">
        <w:t xml:space="preserve"> 8,06</w:t>
      </w:r>
      <w:r w:rsidR="00C144CC">
        <w:t xml:space="preserve"> olarak gerçekleşmiştir.</w:t>
      </w:r>
    </w:p>
    <w:p w:rsidR="006D41B5" w:rsidRDefault="00526414" w:rsidP="006C6552">
      <w:pPr>
        <w:tabs>
          <w:tab w:val="center" w:pos="4703"/>
        </w:tabs>
        <w:rPr>
          <w:sz w:val="14"/>
          <w:szCs w:val="14"/>
        </w:rPr>
      </w:pPr>
      <w:r w:rsidRPr="00526414">
        <w:rPr>
          <w:noProof/>
          <w:sz w:val="14"/>
          <w:szCs w:val="14"/>
        </w:rPr>
        <w:drawing>
          <wp:inline distT="0" distB="0" distL="0" distR="0">
            <wp:extent cx="5429250" cy="27432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C6552">
        <w:rPr>
          <w:sz w:val="14"/>
          <w:szCs w:val="14"/>
        </w:rPr>
        <w:tab/>
      </w:r>
    </w:p>
    <w:p w:rsidR="006D41B5" w:rsidRPr="003A57CB" w:rsidRDefault="006D41B5" w:rsidP="00EF4E45">
      <w:pPr>
        <w:rPr>
          <w:sz w:val="14"/>
          <w:szCs w:val="14"/>
        </w:rPr>
      </w:pPr>
    </w:p>
    <w:p w:rsidR="009F54F1" w:rsidRPr="00526414" w:rsidRDefault="000701FD" w:rsidP="00526414">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00C144CC" w:rsidRPr="006020BD">
        <w:rPr>
          <w:b/>
          <w:sz w:val="16"/>
          <w:szCs w:val="14"/>
        </w:rPr>
        <w:t>Tablo 2: 2004-201</w:t>
      </w:r>
      <w:r w:rsidR="00526414">
        <w:rPr>
          <w:b/>
          <w:sz w:val="16"/>
          <w:szCs w:val="14"/>
        </w:rPr>
        <w:t>4</w:t>
      </w:r>
      <w:r w:rsidR="00C144CC" w:rsidRPr="006020BD">
        <w:rPr>
          <w:b/>
          <w:sz w:val="16"/>
          <w:szCs w:val="14"/>
        </w:rPr>
        <w:t xml:space="preserve"> zaman aralığında enflasyon değişim</w:t>
      </w:r>
      <w:r w:rsidR="00C144CC" w:rsidRPr="006020BD">
        <w:rPr>
          <w:b/>
          <w:sz w:val="16"/>
          <w:szCs w:val="14"/>
        </w:rPr>
        <w:tab/>
      </w:r>
      <w:r w:rsidR="00C144CC" w:rsidRPr="00C144CC">
        <w:rPr>
          <w:b/>
          <w:sz w:val="14"/>
          <w:szCs w:val="14"/>
        </w:rPr>
        <w:tab/>
      </w:r>
      <w:r w:rsidR="00C144CC" w:rsidRPr="00C144CC">
        <w:rPr>
          <w:b/>
          <w:sz w:val="14"/>
          <w:szCs w:val="14"/>
        </w:rPr>
        <w:tab/>
      </w:r>
      <w:r w:rsidR="00C144CC" w:rsidRPr="00C144CC">
        <w:rPr>
          <w:b/>
          <w:sz w:val="14"/>
          <w:szCs w:val="14"/>
        </w:rPr>
        <w:tab/>
      </w:r>
    </w:p>
    <w:p w:rsidR="009F54F1" w:rsidRDefault="009F54F1">
      <w:pPr>
        <w:rPr>
          <w:b/>
          <w:sz w:val="14"/>
          <w:szCs w:val="14"/>
        </w:rPr>
      </w:pPr>
    </w:p>
    <w:p w:rsidR="009F54F1" w:rsidRDefault="00C97D83">
      <w:pPr>
        <w:rPr>
          <w:b/>
          <w:sz w:val="14"/>
          <w:szCs w:val="14"/>
        </w:rPr>
      </w:pPr>
      <w:r w:rsidRPr="00C97D83">
        <w:rPr>
          <w:b/>
          <w:noProof/>
          <w:sz w:val="14"/>
          <w:szCs w:val="14"/>
        </w:rPr>
        <w:lastRenderedPageBreak/>
        <w:drawing>
          <wp:inline distT="0" distB="0" distL="0" distR="0">
            <wp:extent cx="6485860" cy="2594345"/>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4E45" w:rsidRPr="003A57CB" w:rsidRDefault="00C144CC" w:rsidP="008269E0">
      <w:pPr>
        <w:ind w:left="2160" w:firstLine="720"/>
        <w:rPr>
          <w:sz w:val="14"/>
          <w:szCs w:val="14"/>
        </w:rPr>
      </w:pPr>
      <w:r w:rsidRPr="006020BD">
        <w:rPr>
          <w:b/>
          <w:sz w:val="16"/>
          <w:szCs w:val="14"/>
        </w:rPr>
        <w:t xml:space="preserve">Tablo 3: </w:t>
      </w:r>
      <w:r w:rsidR="00510282">
        <w:rPr>
          <w:b/>
          <w:sz w:val="16"/>
          <w:szCs w:val="14"/>
        </w:rPr>
        <w:t>B</w:t>
      </w:r>
      <w:r w:rsidRPr="006020BD">
        <w:rPr>
          <w:b/>
          <w:sz w:val="16"/>
          <w:szCs w:val="14"/>
        </w:rPr>
        <w:t>ir önceki aya göre (aylık)</w:t>
      </w:r>
      <w:r w:rsidR="00510282">
        <w:rPr>
          <w:b/>
          <w:sz w:val="16"/>
          <w:szCs w:val="14"/>
        </w:rPr>
        <w:t xml:space="preserve"> 12 aylık</w:t>
      </w:r>
      <w:r w:rsidRPr="006020BD">
        <w:rPr>
          <w:b/>
          <w:sz w:val="16"/>
          <w:szCs w:val="14"/>
        </w:rPr>
        <w:t xml:space="preserve"> enflasyon verileri.</w:t>
      </w:r>
      <w:r w:rsidRPr="006020BD">
        <w:rPr>
          <w:b/>
          <w:sz w:val="16"/>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701FD"/>
    <w:rsid w:val="000D18BE"/>
    <w:rsid w:val="00113AD5"/>
    <w:rsid w:val="001E5A63"/>
    <w:rsid w:val="001F7633"/>
    <w:rsid w:val="00212CD0"/>
    <w:rsid w:val="00233BD5"/>
    <w:rsid w:val="002A0A8F"/>
    <w:rsid w:val="002D3E19"/>
    <w:rsid w:val="00357954"/>
    <w:rsid w:val="003641B3"/>
    <w:rsid w:val="003A57CB"/>
    <w:rsid w:val="003B0750"/>
    <w:rsid w:val="003C5DE5"/>
    <w:rsid w:val="003D60DA"/>
    <w:rsid w:val="003E4EC1"/>
    <w:rsid w:val="00432DF5"/>
    <w:rsid w:val="00445DB0"/>
    <w:rsid w:val="004C636E"/>
    <w:rsid w:val="004F5D52"/>
    <w:rsid w:val="00500648"/>
    <w:rsid w:val="00510282"/>
    <w:rsid w:val="00526414"/>
    <w:rsid w:val="005405F5"/>
    <w:rsid w:val="00574C38"/>
    <w:rsid w:val="005C53F8"/>
    <w:rsid w:val="006020BD"/>
    <w:rsid w:val="006241BA"/>
    <w:rsid w:val="00652FB8"/>
    <w:rsid w:val="006C6552"/>
    <w:rsid w:val="006D41B5"/>
    <w:rsid w:val="0070186C"/>
    <w:rsid w:val="00704658"/>
    <w:rsid w:val="0070700B"/>
    <w:rsid w:val="00714580"/>
    <w:rsid w:val="00731B2B"/>
    <w:rsid w:val="007441EB"/>
    <w:rsid w:val="00755EFC"/>
    <w:rsid w:val="007736BE"/>
    <w:rsid w:val="00773BC6"/>
    <w:rsid w:val="00817D01"/>
    <w:rsid w:val="008269E0"/>
    <w:rsid w:val="00853A88"/>
    <w:rsid w:val="008C2C15"/>
    <w:rsid w:val="008D1077"/>
    <w:rsid w:val="009F54F1"/>
    <w:rsid w:val="00A77365"/>
    <w:rsid w:val="00AD2065"/>
    <w:rsid w:val="00B40175"/>
    <w:rsid w:val="00B80CFF"/>
    <w:rsid w:val="00BC294E"/>
    <w:rsid w:val="00BC5F10"/>
    <w:rsid w:val="00C05F0D"/>
    <w:rsid w:val="00C144CC"/>
    <w:rsid w:val="00C21D8B"/>
    <w:rsid w:val="00C23FFF"/>
    <w:rsid w:val="00C97D83"/>
    <w:rsid w:val="00CC7D5F"/>
    <w:rsid w:val="00D2299D"/>
    <w:rsid w:val="00D23355"/>
    <w:rsid w:val="00DC5FDC"/>
    <w:rsid w:val="00DE7934"/>
    <w:rsid w:val="00E314F9"/>
    <w:rsid w:val="00E50C57"/>
    <w:rsid w:val="00EA47F7"/>
    <w:rsid w:val="00EF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18890-CC9C-4EDB-8940-D9F2B5E2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2004-2014 Yıllık Enflasyon (%)</a:t>
            </a:r>
          </a:p>
        </c:rich>
      </c:tx>
      <c:layout>
        <c:manualLayout>
          <c:xMode val="edge"/>
          <c:yMode val="edge"/>
          <c:x val="0.36066086476032633"/>
          <c:y val="2.7777777777777839E-2"/>
        </c:manualLayout>
      </c:layout>
      <c:overlay val="0"/>
    </c:title>
    <c:autoTitleDeleted val="0"/>
    <c:plotArea>
      <c:layout/>
      <c:lineChart>
        <c:grouping val="standard"/>
        <c:varyColors val="0"/>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mooth val="0"/>
        </c:ser>
        <c:dLbls>
          <c:showLegendKey val="0"/>
          <c:showVal val="0"/>
          <c:showCatName val="0"/>
          <c:showSerName val="0"/>
          <c:showPercent val="0"/>
          <c:showBubbleSize val="0"/>
        </c:dLbls>
        <c:smooth val="0"/>
        <c:axId val="244843024"/>
        <c:axId val="244842632"/>
      </c:lineChart>
      <c:catAx>
        <c:axId val="244843024"/>
        <c:scaling>
          <c:orientation val="minMax"/>
        </c:scaling>
        <c:delete val="0"/>
        <c:axPos val="b"/>
        <c:numFmt formatCode="General" sourceLinked="1"/>
        <c:majorTickMark val="none"/>
        <c:minorTickMark val="none"/>
        <c:tickLblPos val="nextTo"/>
        <c:crossAx val="244842632"/>
        <c:crosses val="autoZero"/>
        <c:auto val="1"/>
        <c:lblAlgn val="ctr"/>
        <c:lblOffset val="100"/>
        <c:noMultiLvlLbl val="0"/>
      </c:catAx>
      <c:valAx>
        <c:axId val="244842632"/>
        <c:scaling>
          <c:orientation val="minMax"/>
        </c:scaling>
        <c:delete val="0"/>
        <c:axPos val="l"/>
        <c:majorGridlines/>
        <c:numFmt formatCode="0.00" sourceLinked="1"/>
        <c:majorTickMark val="none"/>
        <c:minorTickMark val="none"/>
        <c:tickLblPos val="nextTo"/>
        <c:crossAx val="24484302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Son 12 Aylık Enflasyon Değişimi (%)</a:t>
            </a:r>
          </a:p>
        </c:rich>
      </c:tx>
      <c:overlay val="0"/>
    </c:title>
    <c:autoTitleDeleted val="0"/>
    <c:plotArea>
      <c:layout/>
      <c:lineChart>
        <c:grouping val="standard"/>
        <c:varyColors val="0"/>
        <c:ser>
          <c:idx val="0"/>
          <c:order val="0"/>
          <c:tx>
            <c:strRef>
              <c:f>Sayfa1!$A$8</c:f>
              <c:strCache>
                <c:ptCount val="1"/>
                <c:pt idx="0">
                  <c:v>Aylık enflasyon Değişimi</c:v>
                </c:pt>
              </c:strCache>
            </c:strRef>
          </c:tx>
          <c:marker>
            <c:symbol val="none"/>
          </c:marker>
          <c:cat>
            <c:strRef>
              <c:f>Sayfa1!$B$7:$M$7</c:f>
              <c:strCache>
                <c:ptCount val="12"/>
                <c:pt idx="0">
                  <c:v>Mart</c:v>
                </c:pt>
                <c:pt idx="1">
                  <c:v>Nisan</c:v>
                </c:pt>
                <c:pt idx="2">
                  <c:v>Mayıs</c:v>
                </c:pt>
                <c:pt idx="3">
                  <c:v>Haziran</c:v>
                </c:pt>
                <c:pt idx="4">
                  <c:v>Temmuz</c:v>
                </c:pt>
                <c:pt idx="5">
                  <c:v>Ağustos</c:v>
                </c:pt>
                <c:pt idx="6">
                  <c:v>Eylül </c:v>
                </c:pt>
                <c:pt idx="7">
                  <c:v>Ekim</c:v>
                </c:pt>
                <c:pt idx="8">
                  <c:v>Kasım</c:v>
                </c:pt>
                <c:pt idx="9">
                  <c:v>Aralık </c:v>
                </c:pt>
                <c:pt idx="10">
                  <c:v>Ocak</c:v>
                </c:pt>
                <c:pt idx="11">
                  <c:v>Şubat</c:v>
                </c:pt>
              </c:strCache>
            </c:strRef>
          </c:cat>
          <c:val>
            <c:numRef>
              <c:f>Sayfa1!$B$8:$M$8</c:f>
              <c:numCache>
                <c:formatCode>General</c:formatCode>
                <c:ptCount val="12"/>
                <c:pt idx="0">
                  <c:v>1.1299999999999992</c:v>
                </c:pt>
                <c:pt idx="1">
                  <c:v>1.34</c:v>
                </c:pt>
                <c:pt idx="2">
                  <c:v>0.4</c:v>
                </c:pt>
                <c:pt idx="3">
                  <c:v>0.31000000000000016</c:v>
                </c:pt>
                <c:pt idx="4">
                  <c:v>0.45</c:v>
                </c:pt>
                <c:pt idx="5">
                  <c:v>9.0000000000000024E-2</c:v>
                </c:pt>
                <c:pt idx="6">
                  <c:v>0.14000000000000001</c:v>
                </c:pt>
                <c:pt idx="7">
                  <c:v>1.9000000000000001</c:v>
                </c:pt>
                <c:pt idx="8">
                  <c:v>0.18000000000000008</c:v>
                </c:pt>
                <c:pt idx="9">
                  <c:v>-0.44</c:v>
                </c:pt>
                <c:pt idx="10">
                  <c:v>1.1000000000000001</c:v>
                </c:pt>
                <c:pt idx="11">
                  <c:v>0.70000000000000029</c:v>
                </c:pt>
              </c:numCache>
            </c:numRef>
          </c:val>
          <c:smooth val="0"/>
        </c:ser>
        <c:dLbls>
          <c:showLegendKey val="0"/>
          <c:showVal val="0"/>
          <c:showCatName val="0"/>
          <c:showSerName val="0"/>
          <c:showPercent val="0"/>
          <c:showBubbleSize val="0"/>
        </c:dLbls>
        <c:smooth val="0"/>
        <c:axId val="224567864"/>
        <c:axId val="224566296"/>
      </c:lineChart>
      <c:catAx>
        <c:axId val="224567864"/>
        <c:scaling>
          <c:orientation val="minMax"/>
        </c:scaling>
        <c:delete val="0"/>
        <c:axPos val="b"/>
        <c:numFmt formatCode="General" sourceLinked="0"/>
        <c:majorTickMark val="none"/>
        <c:minorTickMark val="none"/>
        <c:tickLblPos val="nextTo"/>
        <c:crossAx val="224566296"/>
        <c:crosses val="autoZero"/>
        <c:auto val="1"/>
        <c:lblAlgn val="ctr"/>
        <c:lblOffset val="100"/>
        <c:noMultiLvlLbl val="0"/>
      </c:catAx>
      <c:valAx>
        <c:axId val="224566296"/>
        <c:scaling>
          <c:orientation val="minMax"/>
        </c:scaling>
        <c:delete val="0"/>
        <c:axPos val="l"/>
        <c:majorGridlines/>
        <c:numFmt formatCode="General" sourceLinked="1"/>
        <c:majorTickMark val="none"/>
        <c:minorTickMark val="none"/>
        <c:tickLblPos val="nextTo"/>
        <c:crossAx val="22456786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4857E-4A14-435E-9D27-39BDC7A4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709</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Kosgeb</cp:lastModifiedBy>
  <cp:revision>5</cp:revision>
  <dcterms:created xsi:type="dcterms:W3CDTF">2015-03-03T22:29:00Z</dcterms:created>
  <dcterms:modified xsi:type="dcterms:W3CDTF">2015-03-05T12:40:00Z</dcterms:modified>
</cp:coreProperties>
</file>