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63"/>
        <w:gridCol w:w="4236"/>
      </w:tblGrid>
      <w:tr w:rsidR="00AD2065" w:rsidRPr="007554B2" w:rsidTr="00D8766B">
        <w:trPr>
          <w:trHeight w:val="915"/>
        </w:trPr>
        <w:tc>
          <w:tcPr>
            <w:tcW w:w="5644" w:type="dxa"/>
            <w:vAlign w:val="center"/>
          </w:tcPr>
          <w:p w:rsidR="00907E0D" w:rsidRPr="007554B2" w:rsidRDefault="004746B3" w:rsidP="007B58E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2015</w:t>
            </w:r>
            <w:r w:rsidR="00AD2065" w:rsidRPr="007554B2">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OCAK</w:t>
            </w:r>
            <w:r w:rsidR="00AD2065" w:rsidRPr="007554B2">
              <w:rPr>
                <w:rFonts w:asciiTheme="majorHAnsi" w:eastAsiaTheme="majorEastAsia" w:hAnsiTheme="majorHAnsi" w:cstheme="majorBidi"/>
                <w:sz w:val="36"/>
                <w:szCs w:val="36"/>
              </w:rPr>
              <w:t xml:space="preserve"> </w:t>
            </w:r>
          </w:p>
          <w:p w:rsidR="00AD2065" w:rsidRPr="007554B2" w:rsidRDefault="007B58E6" w:rsidP="007B58E6">
            <w:pPr>
              <w:pStyle w:val="stbilgi"/>
              <w:jc w:val="right"/>
              <w:rPr>
                <w:rFonts w:asciiTheme="majorHAnsi" w:eastAsiaTheme="majorEastAsia" w:hAnsiTheme="majorHAnsi" w:cstheme="majorBidi"/>
                <w:sz w:val="36"/>
                <w:szCs w:val="36"/>
              </w:rPr>
            </w:pPr>
            <w:r w:rsidRPr="007554B2">
              <w:rPr>
                <w:rFonts w:asciiTheme="majorHAnsi" w:eastAsiaTheme="majorEastAsia" w:hAnsiTheme="majorHAnsi" w:cstheme="majorBidi"/>
                <w:sz w:val="36"/>
                <w:szCs w:val="36"/>
              </w:rPr>
              <w:t>SANAYİ ÜRETİM ENDEKSİ</w:t>
            </w:r>
          </w:p>
        </w:tc>
        <w:tc>
          <w:tcPr>
            <w:tcW w:w="4678" w:type="dxa"/>
          </w:tcPr>
          <w:p w:rsidR="00AD2065" w:rsidRPr="007554B2" w:rsidRDefault="004746B3" w:rsidP="00FE2D1A">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10 Mart</w:t>
            </w:r>
            <w:r w:rsidR="003C6277" w:rsidRPr="007554B2">
              <w:rPr>
                <w:rFonts w:asciiTheme="majorHAnsi" w:eastAsiaTheme="majorEastAsia" w:hAnsiTheme="majorHAnsi" w:cstheme="majorBidi"/>
                <w:bCs/>
                <w:sz w:val="28"/>
                <w:szCs w:val="36"/>
              </w:rPr>
              <w:t xml:space="preserve"> 2015</w:t>
            </w:r>
            <w:r w:rsidR="00AD2065" w:rsidRPr="007554B2">
              <w:rPr>
                <w:rFonts w:asciiTheme="majorHAnsi" w:eastAsiaTheme="majorEastAsia" w:hAnsiTheme="majorHAnsi" w:cstheme="majorBidi"/>
                <w:bCs/>
                <w:sz w:val="28"/>
                <w:szCs w:val="36"/>
              </w:rPr>
              <w:t xml:space="preserve">  </w:t>
            </w:r>
            <w:r w:rsidR="00AD2065" w:rsidRPr="007554B2">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7554B2">
              <w:rPr>
                <w:rFonts w:asciiTheme="majorHAnsi" w:eastAsiaTheme="majorEastAsia" w:hAnsiTheme="majorHAnsi" w:cstheme="majorBidi"/>
                <w:bCs/>
                <w:sz w:val="28"/>
                <w:szCs w:val="36"/>
              </w:rPr>
              <w:t xml:space="preserve">              </w:t>
            </w:r>
          </w:p>
        </w:tc>
      </w:tr>
    </w:tbl>
    <w:p w:rsidR="00AD2065" w:rsidRPr="00153205" w:rsidRDefault="00AD2065" w:rsidP="00DE04BA">
      <w:pPr>
        <w:pStyle w:val="stbilgi"/>
        <w:jc w:val="both"/>
      </w:pPr>
    </w:p>
    <w:p w:rsidR="002A4698" w:rsidRPr="00153205" w:rsidRDefault="00005AF0" w:rsidP="00DE04BA">
      <w:pPr>
        <w:jc w:val="both"/>
      </w:pPr>
      <w:r w:rsidRPr="00153205">
        <w:t xml:space="preserve">Ocak 2015 Sanayi üretim endeksi ve kapasite kullanım oranı açıklandı. Sanayi üretime </w:t>
      </w:r>
      <w:r w:rsidR="00472136" w:rsidRPr="00153205">
        <w:t>e</w:t>
      </w:r>
      <w:r w:rsidRPr="00153205">
        <w:t xml:space="preserve">ndeksi temel olarak imalata sanayi ağırlıklı olarak hesaplanmaktadır. Endeks’in %81 oranı ile imalat sanayi, %6 Madencilik ve </w:t>
      </w:r>
      <w:proofErr w:type="spellStart"/>
      <w:r w:rsidRPr="00153205">
        <w:t>ve</w:t>
      </w:r>
      <w:proofErr w:type="spellEnd"/>
      <w:r w:rsidRPr="00153205">
        <w:t xml:space="preserve"> %13 elektrik alanları girmektedir. 2010 senesi 100 </w:t>
      </w:r>
      <w:proofErr w:type="gramStart"/>
      <w:r w:rsidRPr="00153205">
        <w:t>baz</w:t>
      </w:r>
      <w:proofErr w:type="gramEnd"/>
      <w:r w:rsidRPr="00153205">
        <w:t xml:space="preserve"> olarak alınmaktadır. 2012 senesinde 110’lu değerlerde dolaşan endeks 2013’den itibaren 120’li değerlere ulaşmıştır. Geçen senenin mayıs ayını dışarda bıraktığımızda endeks değerinin son iki yıldaki en düşük değer olduğunu söyleyebiliriz. Kapasite kullanım oranının da azalmış olması sanayi s</w:t>
      </w:r>
      <w:r w:rsidR="00472136" w:rsidRPr="00153205">
        <w:t>ektöründe işlerin çok da iyi ol</w:t>
      </w:r>
      <w:r w:rsidRPr="00153205">
        <w:t>m</w:t>
      </w:r>
      <w:r w:rsidR="00472136" w:rsidRPr="00153205">
        <w:t>a</w:t>
      </w:r>
      <w:r w:rsidRPr="00153205">
        <w:t>dığının göstergesi olarak ele alınabilir.</w:t>
      </w:r>
      <w:r w:rsidR="002A4698" w:rsidRPr="00153205">
        <w:t xml:space="preserve"> 2010 sonrası sanayi sektöründeki hızlı büyümenin geçen sene oldukça yavaşladığı ve bu seneye de küçülme olarak karşımıza çıktığını söyleyebiliriz. Bu anlamda trendin iyi olmadığı da gözükmektedir. Bunun yan</w:t>
      </w:r>
      <w:r w:rsidR="00472136" w:rsidRPr="00153205">
        <w:t>ı sıra mevsim etkilerini de bak</w:t>
      </w:r>
      <w:r w:rsidR="002A4698" w:rsidRPr="00153205">
        <w:t>ıldığında geçen senenin ocak ayındaki değer senenin 3. Yüksek değeridir. Benzer bir durum bu sene için gerçekleşirse sanayi üretim endeksinin bu sene küçülmesi ve 120’li değerlerin altında seyretmesi gibi olumsuz bir durum mümkün olabilir.</w:t>
      </w:r>
    </w:p>
    <w:p w:rsidR="002A4698" w:rsidRPr="00153205" w:rsidRDefault="002A4698" w:rsidP="00DE04BA">
      <w:pPr>
        <w:jc w:val="both"/>
      </w:pPr>
    </w:p>
    <w:p w:rsidR="002A4698" w:rsidRPr="00153205" w:rsidRDefault="002A4698" w:rsidP="00DE04BA">
      <w:pPr>
        <w:jc w:val="both"/>
      </w:pPr>
      <w:r w:rsidRPr="00153205">
        <w:t>Yıllar itibariyle durumu grafikle gösterirsek:</w:t>
      </w:r>
    </w:p>
    <w:p w:rsidR="002A4698" w:rsidRPr="00153205" w:rsidRDefault="002A4698" w:rsidP="00DE04BA">
      <w:pPr>
        <w:jc w:val="both"/>
      </w:pPr>
      <w:bookmarkStart w:id="0" w:name="_GoBack"/>
      <w:bookmarkEnd w:id="0"/>
    </w:p>
    <w:p w:rsidR="002A4698" w:rsidRPr="00153205" w:rsidRDefault="002A4698" w:rsidP="00DE04BA">
      <w:pPr>
        <w:jc w:val="both"/>
      </w:pPr>
      <w:r w:rsidRPr="00153205">
        <w:rPr>
          <w:noProof/>
        </w:rPr>
        <w:drawing>
          <wp:inline distT="0" distB="0" distL="0" distR="0" wp14:anchorId="2C291577" wp14:editId="3F29461B">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4698" w:rsidRPr="00153205" w:rsidRDefault="00DE04BA" w:rsidP="00DE04BA">
      <w:pPr>
        <w:jc w:val="both"/>
      </w:pPr>
      <w:r w:rsidRPr="00153205">
        <w:t>Görüldüğü üzere 2014’e kadar artış gösteren endeks değeri 2014’de duraklamaya başlamış ve 2015’in ilk ayı itibariyle düşüşe geçmiştir.</w:t>
      </w:r>
    </w:p>
    <w:p w:rsidR="00DE04BA" w:rsidRPr="00153205" w:rsidRDefault="00DE04BA" w:rsidP="00DE04BA">
      <w:pPr>
        <w:ind w:left="5760" w:firstLine="720"/>
        <w:jc w:val="both"/>
      </w:pPr>
      <w:r w:rsidRPr="00153205">
        <w:t>Ahmet Arif Eren</w:t>
      </w:r>
    </w:p>
    <w:p w:rsidR="00DE04BA" w:rsidRDefault="00DE04BA" w:rsidP="00AD2065">
      <w:pPr>
        <w:rPr>
          <w:b/>
        </w:rPr>
      </w:pPr>
    </w:p>
    <w:p w:rsidR="002A4698" w:rsidRDefault="002A4698" w:rsidP="00AD2065">
      <w:pPr>
        <w:rPr>
          <w:b/>
        </w:rPr>
      </w:pPr>
    </w:p>
    <w:p w:rsidR="00005AF0" w:rsidRDefault="00005AF0" w:rsidP="00AD2065">
      <w:pPr>
        <w:rPr>
          <w:b/>
        </w:rPr>
      </w:pPr>
    </w:p>
    <w:p w:rsidR="00AD2065" w:rsidRPr="007554B2" w:rsidRDefault="00C50E17" w:rsidP="00AD2065">
      <w:pPr>
        <w:rPr>
          <w:b/>
        </w:rPr>
      </w:pPr>
      <w:r>
        <w:rPr>
          <w:b/>
        </w:rPr>
        <w:t>Ocak 2015</w:t>
      </w:r>
      <w:r w:rsidR="00EF4E45" w:rsidRPr="007554B2">
        <w:rPr>
          <w:b/>
        </w:rPr>
        <w:t xml:space="preserve"> </w:t>
      </w:r>
      <w:r w:rsidR="007B58E6" w:rsidRPr="007554B2">
        <w:rPr>
          <w:b/>
        </w:rPr>
        <w:t>Sanayi Üretim Endeksi’ne</w:t>
      </w:r>
      <w:r w:rsidR="00EF4E45" w:rsidRPr="007554B2">
        <w:rPr>
          <w:b/>
        </w:rPr>
        <w:t xml:space="preserve"> ilişkin veriler Türkiye İstat</w:t>
      </w:r>
      <w:r w:rsidR="007441EB" w:rsidRPr="007554B2">
        <w:rPr>
          <w:b/>
        </w:rPr>
        <w:t xml:space="preserve">istik Kurumu (TÜİK) tarafından </w:t>
      </w:r>
      <w:r>
        <w:rPr>
          <w:b/>
        </w:rPr>
        <w:t>9 Mart</w:t>
      </w:r>
      <w:r w:rsidR="003C6277" w:rsidRPr="007554B2">
        <w:rPr>
          <w:b/>
        </w:rPr>
        <w:t xml:space="preserve"> 2015</w:t>
      </w:r>
      <w:r w:rsidR="00EF4E45" w:rsidRPr="007554B2">
        <w:rPr>
          <w:b/>
        </w:rPr>
        <w:t xml:space="preserve"> tarihinde yayımlandı.</w:t>
      </w:r>
    </w:p>
    <w:p w:rsidR="000D7AFB" w:rsidRPr="007554B2" w:rsidRDefault="00EF4E45" w:rsidP="00EF4E45">
      <w:r w:rsidRPr="007554B2">
        <w:t xml:space="preserve">TÜİK tarafından aylık yayımlanan </w:t>
      </w:r>
      <w:r w:rsidR="007B58E6" w:rsidRPr="007554B2">
        <w:t>Sanayi Üretim Endeksi</w:t>
      </w:r>
      <w:r w:rsidRPr="007554B2">
        <w:t>,</w:t>
      </w:r>
      <w:r w:rsidR="007B58E6" w:rsidRPr="007554B2">
        <w:t xml:space="preserve"> Türkiye’deki sanayi kuruluşlarının toplam üretiminin</w:t>
      </w:r>
      <w:r w:rsidRPr="007554B2">
        <w:t xml:space="preserve"> zaman içindeki değişim</w:t>
      </w:r>
      <w:r w:rsidR="007B58E6" w:rsidRPr="007554B2">
        <w:t>i</w:t>
      </w:r>
      <w:r w:rsidRPr="007554B2">
        <w:t xml:space="preserve"> hakkında bilgi vermektedir.</w:t>
      </w:r>
      <w:r w:rsidR="00522A6C" w:rsidRPr="007554B2">
        <w:rPr>
          <w:rStyle w:val="DipnotBavurusu"/>
        </w:rPr>
        <w:footnoteReference w:id="1"/>
      </w:r>
    </w:p>
    <w:p w:rsidR="00FD0F6A" w:rsidRPr="007554B2" w:rsidRDefault="0043515F" w:rsidP="005A464C">
      <w:pPr>
        <w:spacing w:after="0" w:line="240" w:lineRule="auto"/>
        <w:jc w:val="both"/>
        <w:outlineLvl w:val="1"/>
        <w:rPr>
          <w:rFonts w:eastAsia="Times New Roman" w:cs="Times New Roman"/>
          <w:b/>
          <w:bCs/>
          <w:kern w:val="36"/>
          <w:sz w:val="24"/>
          <w:szCs w:val="24"/>
        </w:rPr>
      </w:pPr>
      <w:r w:rsidRPr="007554B2">
        <w:rPr>
          <w:rFonts w:eastAsia="Times New Roman" w:cs="Times New Roman"/>
          <w:b/>
          <w:bCs/>
          <w:kern w:val="36"/>
          <w:sz w:val="24"/>
          <w:szCs w:val="24"/>
        </w:rPr>
        <w:t xml:space="preserve">Şekil 1: </w:t>
      </w:r>
      <w:r w:rsidR="00FD0F6A" w:rsidRPr="007554B2">
        <w:rPr>
          <w:rFonts w:eastAsia="Times New Roman" w:cs="Times New Roman"/>
          <w:b/>
          <w:bCs/>
          <w:kern w:val="36"/>
          <w:sz w:val="24"/>
          <w:szCs w:val="24"/>
        </w:rPr>
        <w:t>Aylara göre sanayi üretim endeksi</w:t>
      </w:r>
      <w:r w:rsidR="005A464C" w:rsidRPr="007554B2">
        <w:rPr>
          <w:rFonts w:eastAsia="Times New Roman" w:cs="Times New Roman"/>
          <w:b/>
          <w:bCs/>
          <w:kern w:val="36"/>
          <w:sz w:val="24"/>
          <w:szCs w:val="24"/>
        </w:rPr>
        <w:t xml:space="preserve"> </w:t>
      </w:r>
      <w:r w:rsidR="00FD0F6A" w:rsidRPr="007554B2">
        <w:rPr>
          <w:rFonts w:eastAsia="Times New Roman" w:cs="Times New Roman"/>
          <w:b/>
          <w:bCs/>
          <w:kern w:val="36"/>
          <w:sz w:val="24"/>
          <w:szCs w:val="24"/>
        </w:rPr>
        <w:t>(mevsim ve takvim etkilerinden arındırılmış, 2010=100)</w:t>
      </w:r>
    </w:p>
    <w:p w:rsidR="00FD0F6A" w:rsidRDefault="00454BC0" w:rsidP="005A464C">
      <w:pPr>
        <w:spacing w:after="0" w:line="240" w:lineRule="auto"/>
        <w:jc w:val="both"/>
        <w:outlineLvl w:val="1"/>
        <w:rPr>
          <w:rFonts w:eastAsia="Times New Roman" w:cs="Times New Roman"/>
          <w:b/>
          <w:bCs/>
          <w:kern w:val="36"/>
          <w:sz w:val="28"/>
          <w:szCs w:val="24"/>
        </w:rPr>
      </w:pPr>
      <w:r w:rsidRPr="00454BC0">
        <w:rPr>
          <w:rFonts w:eastAsia="Times New Roman" w:cs="Times New Roman"/>
          <w:b/>
          <w:bCs/>
          <w:noProof/>
          <w:kern w:val="36"/>
          <w:sz w:val="28"/>
          <w:szCs w:val="24"/>
        </w:rPr>
        <w:drawing>
          <wp:inline distT="0" distB="0" distL="0" distR="0">
            <wp:extent cx="6076950" cy="2743200"/>
            <wp:effectExtent l="1905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54B2" w:rsidRDefault="007554B2" w:rsidP="007554B2">
      <w:pPr>
        <w:spacing w:after="0" w:line="240" w:lineRule="auto"/>
        <w:outlineLvl w:val="1"/>
        <w:rPr>
          <w:rFonts w:eastAsia="Times New Roman" w:cs="Times New Roman"/>
          <w:bCs/>
          <w:kern w:val="36"/>
          <w:sz w:val="18"/>
          <w:szCs w:val="24"/>
        </w:rPr>
      </w:pPr>
      <w:r w:rsidRPr="007554B2">
        <w:rPr>
          <w:rFonts w:eastAsia="Times New Roman" w:cs="Times New Roman"/>
          <w:bCs/>
          <w:kern w:val="36"/>
          <w:sz w:val="18"/>
          <w:szCs w:val="24"/>
        </w:rPr>
        <w:t xml:space="preserve">Kaynak: </w:t>
      </w:r>
      <w:proofErr w:type="spellStart"/>
      <w:r w:rsidRPr="007554B2">
        <w:rPr>
          <w:rFonts w:eastAsia="Times New Roman" w:cs="Times New Roman"/>
          <w:bCs/>
          <w:kern w:val="36"/>
          <w:sz w:val="18"/>
          <w:szCs w:val="24"/>
        </w:rPr>
        <w:t>Tüik</w:t>
      </w:r>
      <w:proofErr w:type="spellEnd"/>
    </w:p>
    <w:p w:rsidR="007554B2" w:rsidRPr="007554B2" w:rsidRDefault="007554B2" w:rsidP="007554B2">
      <w:pPr>
        <w:spacing w:after="0" w:line="240" w:lineRule="auto"/>
        <w:outlineLvl w:val="1"/>
        <w:rPr>
          <w:rFonts w:eastAsia="Times New Roman" w:cs="Times New Roman"/>
          <w:bCs/>
          <w:kern w:val="36"/>
          <w:sz w:val="18"/>
          <w:szCs w:val="24"/>
        </w:rPr>
      </w:pPr>
    </w:p>
    <w:p w:rsidR="000376B0" w:rsidRPr="001273B1" w:rsidRDefault="00A43C04" w:rsidP="005A464C">
      <w:pPr>
        <w:spacing w:after="0" w:line="240" w:lineRule="auto"/>
        <w:jc w:val="both"/>
        <w:rPr>
          <w:color w:val="000000" w:themeColor="text1"/>
        </w:rPr>
      </w:pPr>
      <w:r w:rsidRPr="001273B1">
        <w:rPr>
          <w:color w:val="000000" w:themeColor="text1"/>
        </w:rPr>
        <w:t xml:space="preserve">Ocak </w:t>
      </w:r>
      <w:r w:rsidR="00574C38" w:rsidRPr="001273B1">
        <w:rPr>
          <w:color w:val="000000" w:themeColor="text1"/>
        </w:rPr>
        <w:t xml:space="preserve">ayında Türkiye (TR) Geneli </w:t>
      </w:r>
      <w:r w:rsidR="007B58E6" w:rsidRPr="001273B1">
        <w:rPr>
          <w:color w:val="000000" w:themeColor="text1"/>
        </w:rPr>
        <w:t>Sanayi Üretim Endeksi</w:t>
      </w:r>
      <w:r w:rsidR="00574C38" w:rsidRPr="001273B1">
        <w:rPr>
          <w:color w:val="000000" w:themeColor="text1"/>
        </w:rPr>
        <w:t xml:space="preserve"> </w:t>
      </w:r>
      <w:r w:rsidR="00574C38" w:rsidRPr="001273B1">
        <w:rPr>
          <w:b/>
          <w:color w:val="000000" w:themeColor="text1"/>
          <w:u w:val="single"/>
        </w:rPr>
        <w:t>bir önceki aya (</w:t>
      </w:r>
      <w:r w:rsidR="00C50E17" w:rsidRPr="001273B1">
        <w:rPr>
          <w:b/>
          <w:color w:val="000000" w:themeColor="text1"/>
          <w:u w:val="single"/>
        </w:rPr>
        <w:t>Aralık 2015</w:t>
      </w:r>
      <w:r w:rsidR="00574C38" w:rsidRPr="001273B1">
        <w:rPr>
          <w:b/>
          <w:color w:val="000000" w:themeColor="text1"/>
          <w:u w:val="single"/>
        </w:rPr>
        <w:t>) göre</w:t>
      </w:r>
      <w:r w:rsidR="00574C38" w:rsidRPr="001273B1">
        <w:rPr>
          <w:color w:val="000000" w:themeColor="text1"/>
        </w:rPr>
        <w:t xml:space="preserve"> yüzde </w:t>
      </w:r>
      <w:r w:rsidRPr="001273B1">
        <w:rPr>
          <w:color w:val="000000" w:themeColor="text1"/>
        </w:rPr>
        <w:t>1,4</w:t>
      </w:r>
      <w:r w:rsidR="00FD0F6A" w:rsidRPr="001273B1">
        <w:rPr>
          <w:color w:val="000000" w:themeColor="text1"/>
        </w:rPr>
        <w:t xml:space="preserve"> </w:t>
      </w:r>
      <w:r w:rsidRPr="001273B1">
        <w:rPr>
          <w:color w:val="000000" w:themeColor="text1"/>
        </w:rPr>
        <w:t>azalış</w:t>
      </w:r>
      <w:r w:rsidR="00FE2D1A" w:rsidRPr="001273B1">
        <w:rPr>
          <w:color w:val="000000" w:themeColor="text1"/>
        </w:rPr>
        <w:t xml:space="preserve"> </w:t>
      </w:r>
      <w:r w:rsidR="00FD0F6A" w:rsidRPr="001273B1">
        <w:rPr>
          <w:color w:val="000000" w:themeColor="text1"/>
        </w:rPr>
        <w:t>göstermiştir</w:t>
      </w:r>
      <w:r w:rsidR="00574C38" w:rsidRPr="001273B1">
        <w:rPr>
          <w:color w:val="000000" w:themeColor="text1"/>
        </w:rPr>
        <w:t xml:space="preserve">. </w:t>
      </w:r>
      <w:r w:rsidR="00CB4E90" w:rsidRPr="001273B1">
        <w:rPr>
          <w:color w:val="000000" w:themeColor="text1"/>
        </w:rPr>
        <w:t>Ocak (2015</w:t>
      </w:r>
      <w:r w:rsidR="00574C38" w:rsidRPr="001273B1">
        <w:rPr>
          <w:color w:val="000000" w:themeColor="text1"/>
        </w:rPr>
        <w:t>) ayında</w:t>
      </w:r>
      <w:r w:rsidR="00351561" w:rsidRPr="001273B1">
        <w:rPr>
          <w:color w:val="000000" w:themeColor="text1"/>
        </w:rPr>
        <w:t xml:space="preserve"> önceki aya göre</w:t>
      </w:r>
      <w:r w:rsidR="00574C38" w:rsidRPr="001273B1">
        <w:rPr>
          <w:color w:val="000000" w:themeColor="text1"/>
        </w:rPr>
        <w:t xml:space="preserve"> ana </w:t>
      </w:r>
      <w:r w:rsidR="007B58E6" w:rsidRPr="001273B1">
        <w:rPr>
          <w:color w:val="000000" w:themeColor="text1"/>
        </w:rPr>
        <w:t>sanayi</w:t>
      </w:r>
      <w:r w:rsidR="00574C38" w:rsidRPr="001273B1">
        <w:rPr>
          <w:color w:val="000000" w:themeColor="text1"/>
        </w:rPr>
        <w:t xml:space="preserve"> </w:t>
      </w:r>
      <w:r w:rsidR="00C04441" w:rsidRPr="001273B1">
        <w:rPr>
          <w:color w:val="000000" w:themeColor="text1"/>
        </w:rPr>
        <w:t>sektörleri</w:t>
      </w:r>
      <w:r w:rsidR="00574C38" w:rsidRPr="001273B1">
        <w:rPr>
          <w:color w:val="000000" w:themeColor="text1"/>
        </w:rPr>
        <w:t xml:space="preserve"> itibariyle en yüksek </w:t>
      </w:r>
      <w:r w:rsidR="00FE2D1A" w:rsidRPr="001273B1">
        <w:rPr>
          <w:color w:val="000000" w:themeColor="text1"/>
        </w:rPr>
        <w:t>düşüş</w:t>
      </w:r>
      <w:r w:rsidR="00574C38" w:rsidRPr="001273B1">
        <w:rPr>
          <w:color w:val="000000" w:themeColor="text1"/>
        </w:rPr>
        <w:t xml:space="preserve"> yüzde </w:t>
      </w:r>
      <w:r w:rsidR="0034114A" w:rsidRPr="001273B1">
        <w:rPr>
          <w:color w:val="000000" w:themeColor="text1"/>
        </w:rPr>
        <w:t>7,4</w:t>
      </w:r>
      <w:r w:rsidR="00574C38" w:rsidRPr="001273B1">
        <w:rPr>
          <w:color w:val="000000" w:themeColor="text1"/>
        </w:rPr>
        <w:t xml:space="preserve"> ile</w:t>
      </w:r>
      <w:r w:rsidR="007B58E6" w:rsidRPr="001273B1">
        <w:rPr>
          <w:color w:val="000000" w:themeColor="text1"/>
        </w:rPr>
        <w:t xml:space="preserve"> </w:t>
      </w:r>
      <w:r w:rsidR="0034114A" w:rsidRPr="001273B1">
        <w:rPr>
          <w:color w:val="000000" w:themeColor="text1"/>
        </w:rPr>
        <w:t xml:space="preserve">madencilik ve taş ocakçılığı </w:t>
      </w:r>
      <w:r w:rsidR="007B58E6" w:rsidRPr="001273B1">
        <w:rPr>
          <w:color w:val="000000" w:themeColor="text1"/>
        </w:rPr>
        <w:t>üretim</w:t>
      </w:r>
      <w:r w:rsidR="00347FB8" w:rsidRPr="001273B1">
        <w:rPr>
          <w:color w:val="000000" w:themeColor="text1"/>
        </w:rPr>
        <w:t xml:space="preserve">inde yaşanırken, </w:t>
      </w:r>
      <w:r w:rsidR="0034114A" w:rsidRPr="001273B1">
        <w:rPr>
          <w:color w:val="000000" w:themeColor="text1"/>
        </w:rPr>
        <w:t xml:space="preserve">imalat sanayi üretimi de bir önceki aya göre yüzde 1,4 düşüş göstermiştir. </w:t>
      </w:r>
      <w:r w:rsidR="007B58E6" w:rsidRPr="001273B1">
        <w:rPr>
          <w:color w:val="000000" w:themeColor="text1"/>
        </w:rPr>
        <w:t xml:space="preserve"> </w:t>
      </w:r>
      <w:r w:rsidR="004D49B1" w:rsidRPr="001273B1">
        <w:rPr>
          <w:color w:val="000000" w:themeColor="text1"/>
        </w:rPr>
        <w:t>Bir önceki aya göre artış gösteren tek ana sanayi sektörü ise</w:t>
      </w:r>
      <w:r w:rsidR="00347FB8" w:rsidRPr="001273B1">
        <w:rPr>
          <w:color w:val="000000" w:themeColor="text1"/>
        </w:rPr>
        <w:t xml:space="preserve"> </w:t>
      </w:r>
      <w:r w:rsidR="004D49B1" w:rsidRPr="00636195">
        <w:rPr>
          <w:rFonts w:ascii="Calibri" w:eastAsia="Times New Roman" w:hAnsi="Calibri" w:cs="Times New Roman"/>
          <w:color w:val="000000" w:themeColor="text1"/>
        </w:rPr>
        <w:t>Elektri</w:t>
      </w:r>
      <w:r w:rsidR="004D49B1" w:rsidRPr="001273B1">
        <w:rPr>
          <w:rFonts w:ascii="Calibri" w:eastAsia="Times New Roman" w:hAnsi="Calibri" w:cs="Times New Roman"/>
          <w:color w:val="000000" w:themeColor="text1"/>
        </w:rPr>
        <w:t>k, Gaz, Buhar ve İklimlendirme ü</w:t>
      </w:r>
      <w:r w:rsidR="004D49B1" w:rsidRPr="00636195">
        <w:rPr>
          <w:rFonts w:ascii="Calibri" w:eastAsia="Times New Roman" w:hAnsi="Calibri" w:cs="Times New Roman"/>
          <w:color w:val="000000" w:themeColor="text1"/>
        </w:rPr>
        <w:t>retimi</w:t>
      </w:r>
      <w:r w:rsidR="004D49B1" w:rsidRPr="001273B1">
        <w:rPr>
          <w:rFonts w:ascii="Calibri" w:eastAsia="Times New Roman" w:hAnsi="Calibri" w:cs="Times New Roman"/>
          <w:color w:val="000000" w:themeColor="text1"/>
        </w:rPr>
        <w:t xml:space="preserve"> olmuştur. Elektrik, gaz, buhar ve iklimlendirme üretimi bir önceki aya göre yüzde 1,1 artış göstermiştir. </w:t>
      </w:r>
    </w:p>
    <w:p w:rsidR="00C144CC" w:rsidRPr="001273B1" w:rsidRDefault="00574C38" w:rsidP="005A464C">
      <w:pPr>
        <w:spacing w:after="0" w:line="240" w:lineRule="auto"/>
        <w:jc w:val="both"/>
        <w:rPr>
          <w:color w:val="000000" w:themeColor="text1"/>
        </w:rPr>
      </w:pPr>
      <w:r w:rsidRPr="001273B1">
        <w:rPr>
          <w:color w:val="000000" w:themeColor="text1"/>
        </w:rPr>
        <w:t xml:space="preserve"> </w:t>
      </w:r>
    </w:p>
    <w:p w:rsidR="007B58E6" w:rsidRPr="001273B1" w:rsidRDefault="00C04441" w:rsidP="007B58E6">
      <w:pPr>
        <w:jc w:val="both"/>
        <w:rPr>
          <w:color w:val="000000" w:themeColor="text1"/>
        </w:rPr>
      </w:pPr>
      <w:r w:rsidRPr="001273B1">
        <w:rPr>
          <w:color w:val="000000" w:themeColor="text1"/>
        </w:rPr>
        <w:t>Ana sanayi gruplarına</w:t>
      </w:r>
      <w:r w:rsidR="007B58E6" w:rsidRPr="001273B1">
        <w:rPr>
          <w:color w:val="000000" w:themeColor="text1"/>
        </w:rPr>
        <w:t xml:space="preserve"> bakıldığında </w:t>
      </w:r>
      <w:r w:rsidR="00FE2D1A" w:rsidRPr="001273B1">
        <w:rPr>
          <w:color w:val="000000" w:themeColor="text1"/>
        </w:rPr>
        <w:t>azalmada</w:t>
      </w:r>
      <w:r w:rsidR="007B58E6" w:rsidRPr="001273B1">
        <w:rPr>
          <w:color w:val="000000" w:themeColor="text1"/>
        </w:rPr>
        <w:t xml:space="preserve"> </w:t>
      </w:r>
      <w:r w:rsidR="004D49B1" w:rsidRPr="001273B1">
        <w:rPr>
          <w:color w:val="000000" w:themeColor="text1"/>
        </w:rPr>
        <w:t>dayanıklı</w:t>
      </w:r>
      <w:r w:rsidR="007B58E6" w:rsidRPr="001273B1">
        <w:rPr>
          <w:color w:val="000000" w:themeColor="text1"/>
        </w:rPr>
        <w:t xml:space="preserve"> tüketim</w:t>
      </w:r>
      <w:r w:rsidR="00347FB8" w:rsidRPr="001273B1">
        <w:rPr>
          <w:color w:val="000000" w:themeColor="text1"/>
        </w:rPr>
        <w:t xml:space="preserve"> malı</w:t>
      </w:r>
      <w:r w:rsidR="004D49B1" w:rsidRPr="001273B1">
        <w:rPr>
          <w:color w:val="000000" w:themeColor="text1"/>
        </w:rPr>
        <w:t>, dayanıksız tüketim malı ve ara malı üretiminin düşüşte</w:t>
      </w:r>
      <w:r w:rsidR="007B58E6" w:rsidRPr="001273B1">
        <w:rPr>
          <w:color w:val="000000" w:themeColor="text1"/>
        </w:rPr>
        <w:t xml:space="preserve"> etkisi oldu</w:t>
      </w:r>
      <w:r w:rsidR="00FD0F6A" w:rsidRPr="001273B1">
        <w:rPr>
          <w:color w:val="000000" w:themeColor="text1"/>
        </w:rPr>
        <w:t>ğu görülmektedir</w:t>
      </w:r>
      <w:r w:rsidR="007B58E6" w:rsidRPr="001273B1">
        <w:rPr>
          <w:color w:val="000000" w:themeColor="text1"/>
        </w:rPr>
        <w:t>.</w:t>
      </w:r>
      <w:r w:rsidR="00B8514B" w:rsidRPr="001273B1">
        <w:rPr>
          <w:color w:val="000000" w:themeColor="text1"/>
        </w:rPr>
        <w:t xml:space="preserve"> İmalat Sanayi Kapasite Kullanım Oranları (KKO-MA), </w:t>
      </w:r>
      <w:r w:rsidR="00F552A9">
        <w:rPr>
          <w:color w:val="000000" w:themeColor="text1"/>
        </w:rPr>
        <w:t xml:space="preserve">ise </w:t>
      </w:r>
      <w:r w:rsidR="001273B1" w:rsidRPr="001273B1">
        <w:rPr>
          <w:rStyle w:val="Vurgu"/>
          <w:rFonts w:cs="Arial"/>
          <w:bCs/>
          <w:i w:val="0"/>
          <w:iCs w:val="0"/>
          <w:color w:val="000000" w:themeColor="text1"/>
          <w:shd w:val="clear" w:color="auto" w:fill="FFFFFF"/>
        </w:rPr>
        <w:t>ocak</w:t>
      </w:r>
      <w:r w:rsidR="001273B1" w:rsidRPr="001273B1">
        <w:rPr>
          <w:rStyle w:val="apple-converted-space"/>
          <w:rFonts w:cs="Arial"/>
          <w:color w:val="000000" w:themeColor="text1"/>
          <w:shd w:val="clear" w:color="auto" w:fill="FFFFFF"/>
        </w:rPr>
        <w:t> </w:t>
      </w:r>
      <w:r w:rsidR="001273B1" w:rsidRPr="001273B1">
        <w:rPr>
          <w:rFonts w:cs="Arial"/>
          <w:color w:val="000000" w:themeColor="text1"/>
          <w:shd w:val="clear" w:color="auto" w:fill="FFFFFF"/>
        </w:rPr>
        <w:t>ayında bir önceki aya göre 0,9 puan azalarak yüzde 73,7 seviyesinde indi.</w:t>
      </w:r>
    </w:p>
    <w:p w:rsidR="008E7F7A" w:rsidRPr="001273B1" w:rsidRDefault="00517288" w:rsidP="00517288">
      <w:pPr>
        <w:jc w:val="both"/>
        <w:rPr>
          <w:color w:val="000000" w:themeColor="text1"/>
        </w:rPr>
      </w:pPr>
      <w:r w:rsidRPr="001273B1">
        <w:rPr>
          <w:color w:val="000000" w:themeColor="text1"/>
        </w:rPr>
        <w:t xml:space="preserve">İmalat sanayinin alt sektörlerinde geçen aya göre </w:t>
      </w:r>
      <w:r w:rsidR="00923FD3" w:rsidRPr="001273B1">
        <w:rPr>
          <w:color w:val="000000" w:themeColor="text1"/>
        </w:rPr>
        <w:t xml:space="preserve">en fazla </w:t>
      </w:r>
      <w:r w:rsidR="00FE2D1A" w:rsidRPr="001273B1">
        <w:rPr>
          <w:color w:val="000000" w:themeColor="text1"/>
        </w:rPr>
        <w:t>düşüş</w:t>
      </w:r>
      <w:r w:rsidR="00923FD3" w:rsidRPr="001273B1">
        <w:rPr>
          <w:color w:val="000000" w:themeColor="text1"/>
        </w:rPr>
        <w:t xml:space="preserve"> </w:t>
      </w:r>
      <w:r w:rsidR="00763689" w:rsidRPr="001273B1">
        <w:rPr>
          <w:color w:val="000000" w:themeColor="text1"/>
        </w:rPr>
        <w:t xml:space="preserve">ağaç ve mantar ürünleri (%8,8) ile tekstil ürünleri(%8,7) imalatında gerçekleşmiştir. Bu sektörleri diğer metalik olmayan madenler(%6,5) ve maden sanayi(%6,3) takip etmiştir. </w:t>
      </w:r>
      <w:r w:rsidR="00923FD3" w:rsidRPr="001273B1">
        <w:rPr>
          <w:color w:val="000000" w:themeColor="text1"/>
        </w:rPr>
        <w:t xml:space="preserve">Bu </w:t>
      </w:r>
      <w:r w:rsidR="00763689" w:rsidRPr="001273B1">
        <w:rPr>
          <w:color w:val="000000" w:themeColor="text1"/>
        </w:rPr>
        <w:t xml:space="preserve">dönemde </w:t>
      </w:r>
      <w:r w:rsidR="00923FD3" w:rsidRPr="001273B1">
        <w:rPr>
          <w:color w:val="000000" w:themeColor="text1"/>
        </w:rPr>
        <w:t xml:space="preserve">en hızlı </w:t>
      </w:r>
      <w:r w:rsidR="00FE2D1A" w:rsidRPr="001273B1">
        <w:rPr>
          <w:color w:val="000000" w:themeColor="text1"/>
        </w:rPr>
        <w:t>yükseliş</w:t>
      </w:r>
      <w:r w:rsidR="00923FD3" w:rsidRPr="001273B1">
        <w:rPr>
          <w:color w:val="000000" w:themeColor="text1"/>
        </w:rPr>
        <w:t xml:space="preserve"> ise </w:t>
      </w:r>
      <w:r w:rsidR="008E7F7A" w:rsidRPr="001273B1">
        <w:rPr>
          <w:color w:val="000000" w:themeColor="text1"/>
        </w:rPr>
        <w:t>%32,7</w:t>
      </w:r>
      <w:r w:rsidR="00FE2D1A" w:rsidRPr="001273B1">
        <w:rPr>
          <w:color w:val="000000" w:themeColor="text1"/>
        </w:rPr>
        <w:t xml:space="preserve"> ile </w:t>
      </w:r>
      <w:r w:rsidR="008E7F7A" w:rsidRPr="001273B1">
        <w:rPr>
          <w:color w:val="000000" w:themeColor="text1"/>
        </w:rPr>
        <w:t xml:space="preserve">diğer ulaşım araçları ve %19,5 ile diğer kok kömürü ve rafine edilmiş madencilik ürünleri imalatı gerçekleştirmiştir. </w:t>
      </w:r>
    </w:p>
    <w:p w:rsidR="008E7F7A" w:rsidRPr="001273B1" w:rsidRDefault="008E7F7A" w:rsidP="00517288">
      <w:pPr>
        <w:jc w:val="both"/>
        <w:rPr>
          <w:color w:val="000000" w:themeColor="text1"/>
        </w:rPr>
      </w:pPr>
      <w:r w:rsidRPr="001273B1">
        <w:rPr>
          <w:color w:val="000000" w:themeColor="text1"/>
        </w:rPr>
        <w:lastRenderedPageBreak/>
        <w:t>Son 4 yılın ocak ayı sanayi üretim endekslerine bakıldığında ise 2012 yılından bu yana her sene bir öncekinin üzerinde seyrederken</w:t>
      </w:r>
      <w:r w:rsidR="001273B1" w:rsidRPr="001273B1">
        <w:rPr>
          <w:color w:val="000000" w:themeColor="text1"/>
        </w:rPr>
        <w:t>,</w:t>
      </w:r>
      <w:r w:rsidRPr="001273B1">
        <w:rPr>
          <w:color w:val="000000" w:themeColor="text1"/>
        </w:rPr>
        <w:t xml:space="preserve"> 2015 yılı Ocak ayı</w:t>
      </w:r>
      <w:r w:rsidR="001273B1" w:rsidRPr="001273B1">
        <w:rPr>
          <w:color w:val="000000" w:themeColor="text1"/>
        </w:rPr>
        <w:t xml:space="preserve"> sanayi</w:t>
      </w:r>
      <w:r w:rsidRPr="001273B1">
        <w:rPr>
          <w:color w:val="000000" w:themeColor="text1"/>
        </w:rPr>
        <w:t xml:space="preserve"> üretim</w:t>
      </w:r>
      <w:r w:rsidR="001273B1" w:rsidRPr="001273B1">
        <w:rPr>
          <w:color w:val="000000" w:themeColor="text1"/>
        </w:rPr>
        <w:t xml:space="preserve"> endeksi ilk kez düşüşe geçmiştir.</w:t>
      </w:r>
      <w:r w:rsidRPr="001273B1">
        <w:rPr>
          <w:color w:val="000000" w:themeColor="text1"/>
        </w:rPr>
        <w:t xml:space="preserve"> </w:t>
      </w:r>
    </w:p>
    <w:p w:rsidR="00FD0F6A" w:rsidRPr="001273B1" w:rsidRDefault="0043515F" w:rsidP="003144CC">
      <w:pPr>
        <w:spacing w:after="0" w:line="240" w:lineRule="auto"/>
        <w:jc w:val="both"/>
        <w:outlineLvl w:val="1"/>
        <w:rPr>
          <w:rFonts w:eastAsia="Times New Roman" w:cs="Times New Roman"/>
          <w:b/>
          <w:bCs/>
          <w:color w:val="000000" w:themeColor="text1"/>
          <w:kern w:val="36"/>
          <w:sz w:val="24"/>
          <w:szCs w:val="24"/>
        </w:rPr>
      </w:pPr>
      <w:r w:rsidRPr="001273B1">
        <w:rPr>
          <w:rFonts w:eastAsia="Times New Roman" w:cs="Times New Roman"/>
          <w:b/>
          <w:bCs/>
          <w:color w:val="000000" w:themeColor="text1"/>
          <w:kern w:val="36"/>
          <w:sz w:val="24"/>
          <w:szCs w:val="24"/>
        </w:rPr>
        <w:t xml:space="preserve">Şekil 2: </w:t>
      </w:r>
      <w:r w:rsidR="00FD0F6A" w:rsidRPr="001273B1">
        <w:rPr>
          <w:rFonts w:eastAsia="Times New Roman" w:cs="Times New Roman"/>
          <w:b/>
          <w:bCs/>
          <w:color w:val="000000" w:themeColor="text1"/>
          <w:kern w:val="36"/>
          <w:sz w:val="24"/>
          <w:szCs w:val="24"/>
        </w:rPr>
        <w:t xml:space="preserve">Yıllara göre </w:t>
      </w:r>
      <w:r w:rsidR="00636195" w:rsidRPr="001273B1">
        <w:rPr>
          <w:rFonts w:eastAsia="Times New Roman" w:cs="Times New Roman"/>
          <w:b/>
          <w:bCs/>
          <w:color w:val="000000" w:themeColor="text1"/>
          <w:kern w:val="36"/>
          <w:sz w:val="24"/>
          <w:szCs w:val="24"/>
        </w:rPr>
        <w:t>Ocak</w:t>
      </w:r>
      <w:r w:rsidR="00FD0F6A" w:rsidRPr="001273B1">
        <w:rPr>
          <w:rFonts w:eastAsia="Times New Roman" w:cs="Times New Roman"/>
          <w:b/>
          <w:bCs/>
          <w:color w:val="000000" w:themeColor="text1"/>
          <w:kern w:val="36"/>
          <w:sz w:val="24"/>
          <w:szCs w:val="24"/>
        </w:rPr>
        <w:t xml:space="preserve"> ayları itibariyle sanayi üretim endeksi</w:t>
      </w:r>
      <w:r w:rsidR="00B21E05" w:rsidRPr="001273B1">
        <w:rPr>
          <w:rFonts w:eastAsia="Times New Roman" w:cs="Times New Roman"/>
          <w:b/>
          <w:bCs/>
          <w:color w:val="000000" w:themeColor="text1"/>
          <w:kern w:val="36"/>
          <w:sz w:val="24"/>
          <w:szCs w:val="24"/>
        </w:rPr>
        <w:t xml:space="preserve"> </w:t>
      </w:r>
      <w:r w:rsidR="00FD0F6A" w:rsidRPr="001273B1">
        <w:rPr>
          <w:rFonts w:eastAsia="Times New Roman" w:cs="Times New Roman"/>
          <w:b/>
          <w:bCs/>
          <w:color w:val="000000" w:themeColor="text1"/>
          <w:kern w:val="36"/>
          <w:sz w:val="24"/>
          <w:szCs w:val="24"/>
        </w:rPr>
        <w:t>(</w:t>
      </w:r>
      <w:r w:rsidR="00C5430C" w:rsidRPr="001273B1">
        <w:rPr>
          <w:rFonts w:eastAsia="Times New Roman" w:cs="Times New Roman"/>
          <w:b/>
          <w:bCs/>
          <w:color w:val="000000" w:themeColor="text1"/>
          <w:kern w:val="36"/>
          <w:sz w:val="24"/>
          <w:szCs w:val="24"/>
        </w:rPr>
        <w:t xml:space="preserve">mevsim ve </w:t>
      </w:r>
      <w:r w:rsidR="00FD0F6A" w:rsidRPr="001273B1">
        <w:rPr>
          <w:rFonts w:eastAsia="Times New Roman" w:cs="Times New Roman"/>
          <w:b/>
          <w:bCs/>
          <w:color w:val="000000" w:themeColor="text1"/>
          <w:kern w:val="36"/>
          <w:sz w:val="24"/>
          <w:szCs w:val="24"/>
        </w:rPr>
        <w:t>takvim etkisinden arındırılmış, 2010=100)</w:t>
      </w:r>
    </w:p>
    <w:p w:rsidR="00FD0F6A" w:rsidRPr="007554B2" w:rsidRDefault="00FD6CA4" w:rsidP="007554B2">
      <w:pPr>
        <w:spacing w:after="0" w:line="240" w:lineRule="auto"/>
        <w:jc w:val="both"/>
        <w:outlineLvl w:val="1"/>
        <w:rPr>
          <w:rFonts w:eastAsia="Times New Roman" w:cs="Times New Roman"/>
          <w:b/>
          <w:bCs/>
          <w:i/>
          <w:kern w:val="36"/>
          <w:sz w:val="28"/>
          <w:szCs w:val="24"/>
        </w:rPr>
      </w:pPr>
      <w:r w:rsidRPr="00FD6CA4">
        <w:rPr>
          <w:rFonts w:eastAsia="Times New Roman" w:cs="Times New Roman"/>
          <w:b/>
          <w:bCs/>
          <w:i/>
          <w:noProof/>
          <w:kern w:val="36"/>
          <w:sz w:val="28"/>
          <w:szCs w:val="24"/>
        </w:rPr>
        <w:drawing>
          <wp:inline distT="0" distB="0" distL="0" distR="0">
            <wp:extent cx="5953125" cy="2419350"/>
            <wp:effectExtent l="19050" t="0" r="9525" b="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54B2" w:rsidRPr="007554B2" w:rsidRDefault="007554B2" w:rsidP="007554B2">
      <w:pPr>
        <w:spacing w:after="0" w:line="240" w:lineRule="auto"/>
        <w:outlineLvl w:val="1"/>
        <w:rPr>
          <w:rFonts w:eastAsia="Times New Roman" w:cs="Times New Roman"/>
          <w:bCs/>
          <w:kern w:val="36"/>
          <w:sz w:val="18"/>
          <w:szCs w:val="24"/>
        </w:rPr>
      </w:pPr>
      <w:r w:rsidRPr="007554B2">
        <w:rPr>
          <w:rFonts w:eastAsia="Times New Roman" w:cs="Times New Roman"/>
          <w:bCs/>
          <w:kern w:val="36"/>
          <w:sz w:val="18"/>
          <w:szCs w:val="24"/>
        </w:rPr>
        <w:t xml:space="preserve">Kaynak: </w:t>
      </w:r>
      <w:proofErr w:type="spellStart"/>
      <w:r w:rsidRPr="007554B2">
        <w:rPr>
          <w:rFonts w:eastAsia="Times New Roman" w:cs="Times New Roman"/>
          <w:bCs/>
          <w:kern w:val="36"/>
          <w:sz w:val="18"/>
          <w:szCs w:val="24"/>
        </w:rPr>
        <w:t>Tüik</w:t>
      </w:r>
      <w:proofErr w:type="spellEnd"/>
    </w:p>
    <w:p w:rsidR="007554B2" w:rsidRDefault="007554B2" w:rsidP="00AE1B17">
      <w:pPr>
        <w:spacing w:after="0" w:line="240" w:lineRule="auto"/>
        <w:outlineLvl w:val="1"/>
        <w:rPr>
          <w:rFonts w:eastAsia="Times New Roman" w:cs="Times New Roman"/>
          <w:b/>
          <w:bCs/>
          <w:kern w:val="36"/>
          <w:sz w:val="24"/>
          <w:szCs w:val="24"/>
        </w:rPr>
      </w:pPr>
    </w:p>
    <w:p w:rsidR="003144CC" w:rsidRPr="007554B2" w:rsidRDefault="003144CC" w:rsidP="00AE1B17">
      <w:pPr>
        <w:spacing w:after="0" w:line="240" w:lineRule="auto"/>
        <w:outlineLvl w:val="1"/>
        <w:rPr>
          <w:rFonts w:eastAsia="Times New Roman" w:cs="Times New Roman"/>
          <w:b/>
          <w:bCs/>
          <w:kern w:val="36"/>
          <w:sz w:val="24"/>
          <w:szCs w:val="24"/>
        </w:rPr>
      </w:pPr>
      <w:r w:rsidRPr="007554B2">
        <w:rPr>
          <w:rFonts w:eastAsia="Times New Roman" w:cs="Times New Roman"/>
          <w:b/>
          <w:bCs/>
          <w:kern w:val="36"/>
          <w:sz w:val="24"/>
          <w:szCs w:val="24"/>
        </w:rPr>
        <w:t xml:space="preserve">Tablo 1: Ana sanayi gruplarına göre sanayi üretim endeksi büyüme ve değişim </w:t>
      </w:r>
      <w:r w:rsidR="00AA3994">
        <w:rPr>
          <w:rFonts w:eastAsia="Times New Roman" w:cs="Times New Roman"/>
          <w:b/>
          <w:bCs/>
          <w:kern w:val="36"/>
          <w:sz w:val="24"/>
          <w:szCs w:val="24"/>
        </w:rPr>
        <w:t>oranları(2010=100), Ocak 2015</w:t>
      </w:r>
    </w:p>
    <w:tbl>
      <w:tblPr>
        <w:tblW w:w="6678" w:type="dxa"/>
        <w:tblInd w:w="55" w:type="dxa"/>
        <w:tblCellMar>
          <w:left w:w="70" w:type="dxa"/>
          <w:right w:w="70" w:type="dxa"/>
        </w:tblCellMar>
        <w:tblLook w:val="04A0" w:firstRow="1" w:lastRow="0" w:firstColumn="1" w:lastColumn="0" w:noHBand="0" w:noVBand="1"/>
      </w:tblPr>
      <w:tblGrid>
        <w:gridCol w:w="2425"/>
        <w:gridCol w:w="2126"/>
        <w:gridCol w:w="2127"/>
      </w:tblGrid>
      <w:tr w:rsidR="000F7730" w:rsidRPr="000F7730" w:rsidTr="000F7730">
        <w:trPr>
          <w:trHeight w:val="255"/>
        </w:trPr>
        <w:tc>
          <w:tcPr>
            <w:tcW w:w="242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F7730" w:rsidRPr="000F7730" w:rsidRDefault="000F7730" w:rsidP="000F7730">
            <w:pPr>
              <w:spacing w:after="0" w:line="240" w:lineRule="auto"/>
              <w:jc w:val="center"/>
              <w:rPr>
                <w:rFonts w:ascii="Calibri" w:eastAsia="Times New Roman" w:hAnsi="Calibri" w:cs="Times New Roman"/>
                <w:b/>
                <w:bCs/>
              </w:rPr>
            </w:pPr>
            <w:r w:rsidRPr="000F7730">
              <w:rPr>
                <w:rFonts w:ascii="Calibri" w:eastAsia="Times New Roman" w:hAnsi="Calibri" w:cs="Times New Roman"/>
                <w:b/>
                <w:bCs/>
              </w:rPr>
              <w:t> </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jc w:val="center"/>
              <w:rPr>
                <w:rFonts w:ascii="Calibri" w:eastAsia="Times New Roman" w:hAnsi="Calibri" w:cs="Times New Roman"/>
                <w:b/>
                <w:bCs/>
              </w:rPr>
            </w:pPr>
            <w:r w:rsidRPr="000F7730">
              <w:rPr>
                <w:rFonts w:ascii="Calibri" w:eastAsia="Times New Roman" w:hAnsi="Calibri" w:cs="Times New Roman"/>
                <w:b/>
                <w:bCs/>
              </w:rPr>
              <w:t>Önceki Aya Göre (%)</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jc w:val="center"/>
              <w:rPr>
                <w:rFonts w:ascii="Calibri" w:eastAsia="Times New Roman" w:hAnsi="Calibri" w:cs="Times New Roman"/>
                <w:b/>
                <w:bCs/>
              </w:rPr>
            </w:pPr>
            <w:r w:rsidRPr="000F7730">
              <w:rPr>
                <w:rFonts w:ascii="Calibri" w:eastAsia="Times New Roman" w:hAnsi="Calibri" w:cs="Times New Roman"/>
                <w:b/>
                <w:bCs/>
              </w:rPr>
              <w:t>Önceki Yıla Göre (%)</w:t>
            </w:r>
          </w:p>
        </w:tc>
      </w:tr>
      <w:tr w:rsidR="000F7730" w:rsidRPr="000F7730" w:rsidTr="000F7730">
        <w:trPr>
          <w:trHeight w:val="25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rPr>
                <w:rFonts w:ascii="Calibri" w:eastAsia="Times New Roman" w:hAnsi="Calibri" w:cs="Times New Roman"/>
              </w:rPr>
            </w:pPr>
            <w:r w:rsidRPr="000F7730">
              <w:rPr>
                <w:rFonts w:ascii="Calibri" w:eastAsia="Times New Roman" w:hAnsi="Calibri" w:cs="Times New Roman"/>
              </w:rPr>
              <w:t>Ara Malı</w:t>
            </w:r>
          </w:p>
        </w:tc>
        <w:tc>
          <w:tcPr>
            <w:tcW w:w="2126" w:type="dxa"/>
            <w:tcBorders>
              <w:top w:val="nil"/>
              <w:left w:val="nil"/>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jc w:val="center"/>
              <w:rPr>
                <w:rFonts w:ascii="Calibri" w:eastAsia="Times New Roman" w:hAnsi="Calibri" w:cs="Times New Roman"/>
              </w:rPr>
            </w:pPr>
            <w:r w:rsidRPr="000F7730">
              <w:rPr>
                <w:rFonts w:ascii="Calibri" w:eastAsia="Times New Roman" w:hAnsi="Calibri" w:cs="Times New Roman"/>
              </w:rPr>
              <w:t>-2.7%</w:t>
            </w:r>
          </w:p>
        </w:tc>
        <w:tc>
          <w:tcPr>
            <w:tcW w:w="2127" w:type="dxa"/>
            <w:tcBorders>
              <w:top w:val="nil"/>
              <w:left w:val="nil"/>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jc w:val="center"/>
              <w:rPr>
                <w:rFonts w:ascii="Calibri" w:eastAsia="Times New Roman" w:hAnsi="Calibri" w:cs="Times New Roman"/>
              </w:rPr>
            </w:pPr>
            <w:r w:rsidRPr="000F7730">
              <w:rPr>
                <w:rFonts w:ascii="Calibri" w:eastAsia="Times New Roman" w:hAnsi="Calibri" w:cs="Times New Roman"/>
              </w:rPr>
              <w:t>-6.8%</w:t>
            </w:r>
          </w:p>
        </w:tc>
      </w:tr>
      <w:tr w:rsidR="000F7730" w:rsidRPr="000F7730" w:rsidTr="000F7730">
        <w:trPr>
          <w:trHeight w:val="25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rPr>
                <w:rFonts w:ascii="Calibri" w:eastAsia="Times New Roman" w:hAnsi="Calibri" w:cs="Times New Roman"/>
              </w:rPr>
            </w:pPr>
            <w:r w:rsidRPr="000F7730">
              <w:rPr>
                <w:rFonts w:ascii="Calibri" w:eastAsia="Times New Roman" w:hAnsi="Calibri" w:cs="Times New Roman"/>
              </w:rPr>
              <w:t>Dayanıklı Tüketim Malı</w:t>
            </w:r>
          </w:p>
        </w:tc>
        <w:tc>
          <w:tcPr>
            <w:tcW w:w="2126" w:type="dxa"/>
            <w:tcBorders>
              <w:top w:val="nil"/>
              <w:left w:val="nil"/>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jc w:val="center"/>
              <w:rPr>
                <w:rFonts w:ascii="Calibri" w:eastAsia="Times New Roman" w:hAnsi="Calibri" w:cs="Times New Roman"/>
              </w:rPr>
            </w:pPr>
            <w:r w:rsidRPr="000F7730">
              <w:rPr>
                <w:rFonts w:ascii="Calibri" w:eastAsia="Times New Roman" w:hAnsi="Calibri" w:cs="Times New Roman"/>
              </w:rPr>
              <w:t>-5.0%</w:t>
            </w:r>
          </w:p>
        </w:tc>
        <w:tc>
          <w:tcPr>
            <w:tcW w:w="2127" w:type="dxa"/>
            <w:tcBorders>
              <w:top w:val="nil"/>
              <w:left w:val="nil"/>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jc w:val="center"/>
              <w:rPr>
                <w:rFonts w:ascii="Calibri" w:eastAsia="Times New Roman" w:hAnsi="Calibri" w:cs="Times New Roman"/>
              </w:rPr>
            </w:pPr>
            <w:r w:rsidRPr="000F7730">
              <w:rPr>
                <w:rFonts w:ascii="Calibri" w:eastAsia="Times New Roman" w:hAnsi="Calibri" w:cs="Times New Roman"/>
              </w:rPr>
              <w:t>0.7%</w:t>
            </w:r>
          </w:p>
        </w:tc>
      </w:tr>
      <w:tr w:rsidR="000F7730" w:rsidRPr="000F7730" w:rsidTr="000F7730">
        <w:trPr>
          <w:trHeight w:val="25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rPr>
                <w:rFonts w:ascii="Calibri" w:eastAsia="Times New Roman" w:hAnsi="Calibri" w:cs="Times New Roman"/>
              </w:rPr>
            </w:pPr>
            <w:r w:rsidRPr="000F7730">
              <w:rPr>
                <w:rFonts w:ascii="Calibri" w:eastAsia="Times New Roman" w:hAnsi="Calibri" w:cs="Times New Roman"/>
              </w:rPr>
              <w:t>Dayanıksız Tüketim Malı</w:t>
            </w:r>
          </w:p>
        </w:tc>
        <w:tc>
          <w:tcPr>
            <w:tcW w:w="2126" w:type="dxa"/>
            <w:tcBorders>
              <w:top w:val="nil"/>
              <w:left w:val="nil"/>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jc w:val="center"/>
              <w:rPr>
                <w:rFonts w:ascii="Calibri" w:eastAsia="Times New Roman" w:hAnsi="Calibri" w:cs="Times New Roman"/>
              </w:rPr>
            </w:pPr>
            <w:r w:rsidRPr="000F7730">
              <w:rPr>
                <w:rFonts w:ascii="Calibri" w:eastAsia="Times New Roman" w:hAnsi="Calibri" w:cs="Times New Roman"/>
              </w:rPr>
              <w:t>-2.0%</w:t>
            </w:r>
          </w:p>
        </w:tc>
        <w:tc>
          <w:tcPr>
            <w:tcW w:w="2127" w:type="dxa"/>
            <w:tcBorders>
              <w:top w:val="nil"/>
              <w:left w:val="nil"/>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jc w:val="center"/>
              <w:rPr>
                <w:rFonts w:ascii="Calibri" w:eastAsia="Times New Roman" w:hAnsi="Calibri" w:cs="Times New Roman"/>
              </w:rPr>
            </w:pPr>
            <w:r w:rsidRPr="000F7730">
              <w:rPr>
                <w:rFonts w:ascii="Calibri" w:eastAsia="Times New Roman" w:hAnsi="Calibri" w:cs="Times New Roman"/>
              </w:rPr>
              <w:t>-2.5%</w:t>
            </w:r>
          </w:p>
        </w:tc>
      </w:tr>
      <w:tr w:rsidR="000F7730" w:rsidRPr="000F7730" w:rsidTr="000F7730">
        <w:trPr>
          <w:trHeight w:val="25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rPr>
                <w:rFonts w:ascii="Calibri" w:eastAsia="Times New Roman" w:hAnsi="Calibri" w:cs="Times New Roman"/>
              </w:rPr>
            </w:pPr>
            <w:r w:rsidRPr="000F7730">
              <w:rPr>
                <w:rFonts w:ascii="Calibri" w:eastAsia="Times New Roman" w:hAnsi="Calibri" w:cs="Times New Roman"/>
              </w:rPr>
              <w:t>Enerji</w:t>
            </w:r>
          </w:p>
        </w:tc>
        <w:tc>
          <w:tcPr>
            <w:tcW w:w="2126" w:type="dxa"/>
            <w:tcBorders>
              <w:top w:val="nil"/>
              <w:left w:val="nil"/>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jc w:val="center"/>
              <w:rPr>
                <w:rFonts w:ascii="Calibri" w:eastAsia="Times New Roman" w:hAnsi="Calibri" w:cs="Times New Roman"/>
              </w:rPr>
            </w:pPr>
            <w:r w:rsidRPr="000F7730">
              <w:rPr>
                <w:rFonts w:ascii="Calibri" w:eastAsia="Times New Roman" w:hAnsi="Calibri" w:cs="Times New Roman"/>
              </w:rPr>
              <w:t>1.1%</w:t>
            </w:r>
          </w:p>
        </w:tc>
        <w:tc>
          <w:tcPr>
            <w:tcW w:w="2127" w:type="dxa"/>
            <w:tcBorders>
              <w:top w:val="nil"/>
              <w:left w:val="nil"/>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jc w:val="center"/>
              <w:rPr>
                <w:rFonts w:ascii="Calibri" w:eastAsia="Times New Roman" w:hAnsi="Calibri" w:cs="Times New Roman"/>
              </w:rPr>
            </w:pPr>
            <w:r w:rsidRPr="000F7730">
              <w:rPr>
                <w:rFonts w:ascii="Calibri" w:eastAsia="Times New Roman" w:hAnsi="Calibri" w:cs="Times New Roman"/>
              </w:rPr>
              <w:t>1.6%</w:t>
            </w:r>
          </w:p>
        </w:tc>
      </w:tr>
      <w:tr w:rsidR="000F7730" w:rsidRPr="000F7730" w:rsidTr="000F7730">
        <w:trPr>
          <w:trHeight w:val="25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rPr>
                <w:rFonts w:ascii="Calibri" w:eastAsia="Times New Roman" w:hAnsi="Calibri" w:cs="Times New Roman"/>
              </w:rPr>
            </w:pPr>
            <w:r w:rsidRPr="000F7730">
              <w:rPr>
                <w:rFonts w:ascii="Calibri" w:eastAsia="Times New Roman" w:hAnsi="Calibri" w:cs="Times New Roman"/>
              </w:rPr>
              <w:t>Sermaye Malı</w:t>
            </w:r>
          </w:p>
        </w:tc>
        <w:tc>
          <w:tcPr>
            <w:tcW w:w="2126" w:type="dxa"/>
            <w:tcBorders>
              <w:top w:val="nil"/>
              <w:left w:val="nil"/>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jc w:val="center"/>
              <w:rPr>
                <w:rFonts w:ascii="Calibri" w:eastAsia="Times New Roman" w:hAnsi="Calibri" w:cs="Times New Roman"/>
              </w:rPr>
            </w:pPr>
            <w:r w:rsidRPr="000F7730">
              <w:rPr>
                <w:rFonts w:ascii="Calibri" w:eastAsia="Times New Roman" w:hAnsi="Calibri" w:cs="Times New Roman"/>
              </w:rPr>
              <w:t>0.8%</w:t>
            </w:r>
          </w:p>
        </w:tc>
        <w:tc>
          <w:tcPr>
            <w:tcW w:w="2127" w:type="dxa"/>
            <w:tcBorders>
              <w:top w:val="nil"/>
              <w:left w:val="nil"/>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jc w:val="center"/>
              <w:rPr>
                <w:rFonts w:ascii="Calibri" w:eastAsia="Times New Roman" w:hAnsi="Calibri" w:cs="Times New Roman"/>
              </w:rPr>
            </w:pPr>
            <w:r w:rsidRPr="000F7730">
              <w:rPr>
                <w:rFonts w:ascii="Calibri" w:eastAsia="Times New Roman" w:hAnsi="Calibri" w:cs="Times New Roman"/>
              </w:rPr>
              <w:t>7.5%</w:t>
            </w:r>
          </w:p>
        </w:tc>
      </w:tr>
      <w:tr w:rsidR="000F7730" w:rsidRPr="000F7730" w:rsidTr="000F7730">
        <w:trPr>
          <w:trHeight w:val="25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rsidR="000F7730" w:rsidRPr="000F7730" w:rsidRDefault="000F7730" w:rsidP="000F7730">
            <w:pPr>
              <w:spacing w:after="0" w:line="240" w:lineRule="auto"/>
              <w:rPr>
                <w:rFonts w:ascii="Calibri" w:eastAsia="Times New Roman" w:hAnsi="Calibri" w:cs="Times New Roman"/>
                <w:b/>
                <w:bCs/>
              </w:rPr>
            </w:pPr>
            <w:r w:rsidRPr="000F7730">
              <w:rPr>
                <w:rFonts w:ascii="Calibri" w:eastAsia="Times New Roman" w:hAnsi="Calibri" w:cs="Times New Roman"/>
                <w:b/>
                <w:bCs/>
              </w:rPr>
              <w:t>TOPLAM</w:t>
            </w:r>
          </w:p>
        </w:tc>
        <w:tc>
          <w:tcPr>
            <w:tcW w:w="2126" w:type="dxa"/>
            <w:tcBorders>
              <w:top w:val="nil"/>
              <w:left w:val="nil"/>
              <w:bottom w:val="single" w:sz="8" w:space="0" w:color="auto"/>
              <w:right w:val="single" w:sz="8" w:space="0" w:color="auto"/>
            </w:tcBorders>
            <w:shd w:val="clear" w:color="auto" w:fill="auto"/>
            <w:noWrap/>
            <w:vAlign w:val="center"/>
            <w:hideMark/>
          </w:tcPr>
          <w:p w:rsidR="000F7730" w:rsidRPr="000F7730" w:rsidRDefault="000F7730" w:rsidP="000F7730">
            <w:pPr>
              <w:spacing w:after="0" w:line="240" w:lineRule="auto"/>
              <w:jc w:val="center"/>
              <w:rPr>
                <w:rFonts w:ascii="Calibri" w:eastAsia="Times New Roman" w:hAnsi="Calibri" w:cs="Times New Roman"/>
                <w:b/>
                <w:bCs/>
              </w:rPr>
            </w:pPr>
            <w:r w:rsidRPr="000F7730">
              <w:rPr>
                <w:rFonts w:ascii="Calibri" w:eastAsia="Times New Roman" w:hAnsi="Calibri" w:cs="Times New Roman"/>
                <w:b/>
                <w:bCs/>
              </w:rPr>
              <w:t>-1.4%</w:t>
            </w:r>
          </w:p>
        </w:tc>
        <w:tc>
          <w:tcPr>
            <w:tcW w:w="2127" w:type="dxa"/>
            <w:tcBorders>
              <w:top w:val="nil"/>
              <w:left w:val="nil"/>
              <w:bottom w:val="single" w:sz="8" w:space="0" w:color="auto"/>
              <w:right w:val="single" w:sz="8" w:space="0" w:color="auto"/>
            </w:tcBorders>
            <w:shd w:val="clear" w:color="auto" w:fill="auto"/>
            <w:noWrap/>
            <w:vAlign w:val="center"/>
            <w:hideMark/>
          </w:tcPr>
          <w:p w:rsidR="000F7730" w:rsidRPr="000F7730" w:rsidRDefault="000F7730" w:rsidP="000F7730">
            <w:pPr>
              <w:spacing w:after="0" w:line="240" w:lineRule="auto"/>
              <w:jc w:val="center"/>
              <w:rPr>
                <w:rFonts w:ascii="Calibri" w:eastAsia="Times New Roman" w:hAnsi="Calibri" w:cs="Times New Roman"/>
                <w:b/>
                <w:bCs/>
              </w:rPr>
            </w:pPr>
            <w:r w:rsidRPr="000F7730">
              <w:rPr>
                <w:rFonts w:ascii="Calibri" w:eastAsia="Times New Roman" w:hAnsi="Calibri" w:cs="Times New Roman"/>
                <w:b/>
                <w:bCs/>
              </w:rPr>
              <w:t>-1.6%</w:t>
            </w:r>
          </w:p>
        </w:tc>
      </w:tr>
    </w:tbl>
    <w:p w:rsidR="003144CC" w:rsidRPr="007554B2" w:rsidRDefault="003144CC" w:rsidP="00AE1B17">
      <w:pPr>
        <w:spacing w:after="0" w:line="240" w:lineRule="auto"/>
        <w:jc w:val="both"/>
        <w:outlineLvl w:val="1"/>
        <w:rPr>
          <w:rFonts w:eastAsia="Times New Roman" w:cs="Times New Roman"/>
          <w:bCs/>
          <w:kern w:val="36"/>
          <w:sz w:val="18"/>
          <w:szCs w:val="24"/>
        </w:rPr>
      </w:pPr>
      <w:r w:rsidRPr="007554B2">
        <w:rPr>
          <w:rFonts w:eastAsia="Times New Roman" w:cs="Times New Roman"/>
          <w:bCs/>
          <w:kern w:val="36"/>
          <w:sz w:val="18"/>
          <w:szCs w:val="24"/>
        </w:rPr>
        <w:t xml:space="preserve">Kaynak: </w:t>
      </w:r>
      <w:proofErr w:type="spellStart"/>
      <w:r w:rsidRPr="007554B2">
        <w:rPr>
          <w:rFonts w:eastAsia="Times New Roman" w:cs="Times New Roman"/>
          <w:bCs/>
          <w:kern w:val="36"/>
          <w:sz w:val="18"/>
          <w:szCs w:val="24"/>
        </w:rPr>
        <w:t>Tüik</w:t>
      </w:r>
      <w:proofErr w:type="spellEnd"/>
    </w:p>
    <w:p w:rsidR="007554B2" w:rsidRDefault="007554B2" w:rsidP="00AE1B17">
      <w:pPr>
        <w:spacing w:after="0" w:line="240" w:lineRule="auto"/>
        <w:jc w:val="both"/>
        <w:outlineLvl w:val="1"/>
        <w:rPr>
          <w:rFonts w:eastAsia="Times New Roman" w:cs="Times New Roman"/>
          <w:bCs/>
          <w:kern w:val="36"/>
          <w:sz w:val="18"/>
          <w:szCs w:val="24"/>
        </w:rPr>
      </w:pPr>
    </w:p>
    <w:p w:rsidR="007554B2" w:rsidRPr="007554B2" w:rsidRDefault="007554B2" w:rsidP="00AE1B17">
      <w:pPr>
        <w:spacing w:after="0" w:line="240" w:lineRule="auto"/>
        <w:jc w:val="both"/>
        <w:outlineLvl w:val="1"/>
        <w:rPr>
          <w:rFonts w:eastAsia="Times New Roman" w:cs="Times New Roman"/>
          <w:bCs/>
          <w:kern w:val="36"/>
          <w:sz w:val="18"/>
          <w:szCs w:val="24"/>
        </w:rPr>
      </w:pPr>
    </w:p>
    <w:p w:rsidR="007402FF" w:rsidRPr="007554B2" w:rsidRDefault="007402FF" w:rsidP="007554B2">
      <w:pPr>
        <w:spacing w:after="0" w:line="240" w:lineRule="auto"/>
        <w:contextualSpacing/>
        <w:outlineLvl w:val="1"/>
        <w:rPr>
          <w:rFonts w:eastAsia="Times New Roman" w:cs="Times New Roman"/>
          <w:b/>
          <w:bCs/>
          <w:kern w:val="36"/>
          <w:sz w:val="24"/>
          <w:szCs w:val="24"/>
        </w:rPr>
      </w:pPr>
      <w:r w:rsidRPr="007554B2">
        <w:rPr>
          <w:rFonts w:eastAsia="Times New Roman" w:cs="Times New Roman"/>
          <w:b/>
          <w:bCs/>
          <w:kern w:val="36"/>
          <w:sz w:val="24"/>
          <w:szCs w:val="24"/>
        </w:rPr>
        <w:t xml:space="preserve">Tablo 1: </w:t>
      </w:r>
      <w:r w:rsidR="00AE1B17" w:rsidRPr="007554B2">
        <w:rPr>
          <w:rFonts w:eastAsia="Times New Roman" w:cs="Times New Roman"/>
          <w:b/>
          <w:bCs/>
          <w:kern w:val="36"/>
          <w:sz w:val="24"/>
          <w:szCs w:val="24"/>
        </w:rPr>
        <w:t>Sanayi alt sektörlerine</w:t>
      </w:r>
      <w:r w:rsidRPr="007554B2">
        <w:rPr>
          <w:rFonts w:eastAsia="Times New Roman" w:cs="Times New Roman"/>
          <w:b/>
          <w:bCs/>
          <w:kern w:val="36"/>
          <w:sz w:val="24"/>
          <w:szCs w:val="24"/>
        </w:rPr>
        <w:t xml:space="preserve"> göre sanayi üretim endeksi büyüme ve d</w:t>
      </w:r>
      <w:r w:rsidR="00264515">
        <w:rPr>
          <w:rFonts w:eastAsia="Times New Roman" w:cs="Times New Roman"/>
          <w:b/>
          <w:bCs/>
          <w:kern w:val="36"/>
          <w:sz w:val="24"/>
          <w:szCs w:val="24"/>
        </w:rPr>
        <w:t xml:space="preserve">eğişim oranları(2010=100), </w:t>
      </w:r>
      <w:r w:rsidR="00AA3994">
        <w:rPr>
          <w:rFonts w:eastAsia="Times New Roman" w:cs="Times New Roman"/>
          <w:b/>
          <w:bCs/>
          <w:kern w:val="36"/>
          <w:sz w:val="24"/>
          <w:szCs w:val="24"/>
        </w:rPr>
        <w:t>Ocak 2015</w:t>
      </w:r>
    </w:p>
    <w:tbl>
      <w:tblPr>
        <w:tblW w:w="8804" w:type="dxa"/>
        <w:tblInd w:w="55" w:type="dxa"/>
        <w:tblCellMar>
          <w:left w:w="70" w:type="dxa"/>
          <w:right w:w="70" w:type="dxa"/>
        </w:tblCellMar>
        <w:tblLook w:val="04A0" w:firstRow="1" w:lastRow="0" w:firstColumn="1" w:lastColumn="0" w:noHBand="0" w:noVBand="1"/>
      </w:tblPr>
      <w:tblGrid>
        <w:gridCol w:w="5260"/>
        <w:gridCol w:w="1843"/>
        <w:gridCol w:w="1701"/>
      </w:tblGrid>
      <w:tr w:rsidR="00636195" w:rsidRPr="00636195" w:rsidTr="00636195">
        <w:trPr>
          <w:trHeight w:val="255"/>
        </w:trPr>
        <w:tc>
          <w:tcPr>
            <w:tcW w:w="5260" w:type="dxa"/>
            <w:tcBorders>
              <w:top w:val="single" w:sz="8" w:space="0" w:color="auto"/>
              <w:left w:val="single" w:sz="8" w:space="0" w:color="auto"/>
              <w:bottom w:val="nil"/>
              <w:right w:val="single" w:sz="8" w:space="0" w:color="auto"/>
            </w:tcBorders>
            <w:shd w:val="clear" w:color="auto" w:fill="auto"/>
            <w:vAlign w:val="bottom"/>
            <w:hideMark/>
          </w:tcPr>
          <w:p w:rsidR="00636195" w:rsidRPr="00636195" w:rsidRDefault="00636195" w:rsidP="00636195">
            <w:pPr>
              <w:spacing w:after="0" w:line="240" w:lineRule="auto"/>
              <w:contextualSpacing/>
              <w:rPr>
                <w:rFonts w:ascii="Calibri" w:eastAsia="Times New Roman" w:hAnsi="Calibri" w:cs="Times New Roman"/>
                <w:b/>
                <w:bCs/>
              </w:rPr>
            </w:pPr>
            <w:r w:rsidRPr="00636195">
              <w:rPr>
                <w:rFonts w:ascii="Calibri" w:eastAsia="Times New Roman" w:hAnsi="Calibri" w:cs="Times New Roman"/>
                <w:b/>
                <w:bCs/>
              </w:rPr>
              <w:t> </w:t>
            </w:r>
          </w:p>
        </w:tc>
        <w:tc>
          <w:tcPr>
            <w:tcW w:w="1843" w:type="dxa"/>
            <w:tcBorders>
              <w:top w:val="single" w:sz="8" w:space="0" w:color="auto"/>
              <w:left w:val="nil"/>
              <w:bottom w:val="nil"/>
              <w:right w:val="single" w:sz="8" w:space="0" w:color="auto"/>
            </w:tcBorders>
            <w:shd w:val="clear" w:color="auto" w:fill="auto"/>
            <w:noWrap/>
            <w:vAlign w:val="bottom"/>
            <w:hideMark/>
          </w:tcPr>
          <w:p w:rsidR="00636195" w:rsidRPr="00636195" w:rsidRDefault="00636195" w:rsidP="00636195">
            <w:pPr>
              <w:spacing w:after="0" w:line="240" w:lineRule="auto"/>
              <w:contextualSpacing/>
              <w:jc w:val="center"/>
              <w:rPr>
                <w:rFonts w:ascii="Calibri" w:eastAsia="Times New Roman" w:hAnsi="Calibri" w:cs="Times New Roman"/>
                <w:b/>
                <w:bCs/>
              </w:rPr>
            </w:pPr>
            <w:r w:rsidRPr="00636195">
              <w:rPr>
                <w:rFonts w:ascii="Calibri" w:eastAsia="Times New Roman" w:hAnsi="Calibri" w:cs="Times New Roman"/>
                <w:b/>
                <w:bCs/>
              </w:rPr>
              <w:t>Önceki Aya Göre (%)</w:t>
            </w:r>
          </w:p>
        </w:tc>
        <w:tc>
          <w:tcPr>
            <w:tcW w:w="1701" w:type="dxa"/>
            <w:tcBorders>
              <w:top w:val="single" w:sz="8" w:space="0" w:color="auto"/>
              <w:left w:val="nil"/>
              <w:bottom w:val="nil"/>
              <w:right w:val="single" w:sz="8" w:space="0" w:color="auto"/>
            </w:tcBorders>
            <w:shd w:val="clear" w:color="auto" w:fill="auto"/>
            <w:noWrap/>
            <w:vAlign w:val="bottom"/>
            <w:hideMark/>
          </w:tcPr>
          <w:p w:rsidR="00636195" w:rsidRPr="00636195" w:rsidRDefault="00636195" w:rsidP="00636195">
            <w:pPr>
              <w:spacing w:after="0" w:line="240" w:lineRule="auto"/>
              <w:contextualSpacing/>
              <w:jc w:val="center"/>
              <w:rPr>
                <w:rFonts w:ascii="Calibri" w:eastAsia="Times New Roman" w:hAnsi="Calibri" w:cs="Times New Roman"/>
                <w:b/>
                <w:bCs/>
              </w:rPr>
            </w:pPr>
            <w:r w:rsidRPr="00636195">
              <w:rPr>
                <w:rFonts w:ascii="Calibri" w:eastAsia="Times New Roman" w:hAnsi="Calibri" w:cs="Times New Roman"/>
                <w:b/>
                <w:bCs/>
              </w:rPr>
              <w:t>Önceki Yıla Göre (%)</w:t>
            </w:r>
          </w:p>
        </w:tc>
      </w:tr>
      <w:tr w:rsidR="00636195" w:rsidRPr="00636195" w:rsidTr="00636195">
        <w:trPr>
          <w:trHeight w:val="255"/>
        </w:trPr>
        <w:tc>
          <w:tcPr>
            <w:tcW w:w="5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6195" w:rsidRPr="00636195" w:rsidRDefault="00636195" w:rsidP="00636195">
            <w:pPr>
              <w:spacing w:after="0" w:line="240" w:lineRule="auto"/>
              <w:contextualSpacing/>
              <w:rPr>
                <w:rFonts w:ascii="Calibri" w:eastAsia="Times New Roman" w:hAnsi="Calibri" w:cs="Times New Roman"/>
              </w:rPr>
            </w:pPr>
            <w:r w:rsidRPr="00636195">
              <w:rPr>
                <w:rFonts w:ascii="Calibri" w:eastAsia="Times New Roman" w:hAnsi="Calibri" w:cs="Times New Roman"/>
              </w:rPr>
              <w:t xml:space="preserve">Madencilik ve </w:t>
            </w:r>
            <w:proofErr w:type="spellStart"/>
            <w:r w:rsidRPr="00636195">
              <w:rPr>
                <w:rFonts w:ascii="Calibri" w:eastAsia="Times New Roman" w:hAnsi="Calibri" w:cs="Times New Roman"/>
              </w:rPr>
              <w:t>Taşocakçılığı</w:t>
            </w:r>
            <w:proofErr w:type="spellEnd"/>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636195" w:rsidRPr="00636195" w:rsidRDefault="00636195" w:rsidP="00636195">
            <w:pPr>
              <w:spacing w:after="0" w:line="240" w:lineRule="auto"/>
              <w:contextualSpacing/>
              <w:jc w:val="center"/>
              <w:rPr>
                <w:rFonts w:ascii="Calibri" w:eastAsia="Times New Roman" w:hAnsi="Calibri" w:cs="Times New Roman"/>
                <w:sz w:val="20"/>
                <w:szCs w:val="20"/>
              </w:rPr>
            </w:pPr>
            <w:r w:rsidRPr="00636195">
              <w:rPr>
                <w:rFonts w:ascii="Calibri" w:eastAsia="Times New Roman" w:hAnsi="Calibri" w:cs="Times New Roman"/>
                <w:sz w:val="20"/>
                <w:szCs w:val="20"/>
              </w:rPr>
              <w:t>-7.4%</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636195" w:rsidRPr="00636195" w:rsidRDefault="00636195" w:rsidP="00636195">
            <w:pPr>
              <w:spacing w:after="0" w:line="240" w:lineRule="auto"/>
              <w:contextualSpacing/>
              <w:jc w:val="center"/>
              <w:rPr>
                <w:rFonts w:ascii="Calibri" w:eastAsia="Times New Roman" w:hAnsi="Calibri" w:cs="Times New Roman"/>
                <w:sz w:val="20"/>
                <w:szCs w:val="20"/>
              </w:rPr>
            </w:pPr>
            <w:r w:rsidRPr="00636195">
              <w:rPr>
                <w:rFonts w:ascii="Calibri" w:eastAsia="Times New Roman" w:hAnsi="Calibri" w:cs="Times New Roman"/>
                <w:sz w:val="20"/>
                <w:szCs w:val="20"/>
              </w:rPr>
              <w:t>-7.6%</w:t>
            </w:r>
          </w:p>
        </w:tc>
      </w:tr>
      <w:tr w:rsidR="00636195" w:rsidRPr="00636195" w:rsidTr="00636195">
        <w:trPr>
          <w:trHeight w:val="255"/>
        </w:trPr>
        <w:tc>
          <w:tcPr>
            <w:tcW w:w="5260" w:type="dxa"/>
            <w:tcBorders>
              <w:top w:val="nil"/>
              <w:left w:val="single" w:sz="8" w:space="0" w:color="auto"/>
              <w:bottom w:val="single" w:sz="8" w:space="0" w:color="auto"/>
              <w:right w:val="single" w:sz="8" w:space="0" w:color="auto"/>
            </w:tcBorders>
            <w:shd w:val="clear" w:color="auto" w:fill="auto"/>
            <w:noWrap/>
            <w:vAlign w:val="bottom"/>
            <w:hideMark/>
          </w:tcPr>
          <w:p w:rsidR="00636195" w:rsidRPr="00636195" w:rsidRDefault="00636195" w:rsidP="00636195">
            <w:pPr>
              <w:spacing w:after="0" w:line="240" w:lineRule="auto"/>
              <w:contextualSpacing/>
              <w:rPr>
                <w:rFonts w:ascii="Calibri" w:eastAsia="Times New Roman" w:hAnsi="Calibri" w:cs="Times New Roman"/>
              </w:rPr>
            </w:pPr>
            <w:r w:rsidRPr="00636195">
              <w:rPr>
                <w:rFonts w:ascii="Calibri" w:eastAsia="Times New Roman" w:hAnsi="Calibri" w:cs="Times New Roman"/>
              </w:rPr>
              <w:t>İmalat Sanayi</w:t>
            </w:r>
          </w:p>
        </w:tc>
        <w:tc>
          <w:tcPr>
            <w:tcW w:w="1843" w:type="dxa"/>
            <w:tcBorders>
              <w:top w:val="nil"/>
              <w:left w:val="nil"/>
              <w:bottom w:val="nil"/>
              <w:right w:val="nil"/>
            </w:tcBorders>
            <w:shd w:val="clear" w:color="auto" w:fill="auto"/>
            <w:noWrap/>
            <w:vAlign w:val="bottom"/>
            <w:hideMark/>
          </w:tcPr>
          <w:p w:rsidR="00636195" w:rsidRPr="00636195" w:rsidRDefault="00636195" w:rsidP="00636195">
            <w:pPr>
              <w:spacing w:after="0" w:line="240" w:lineRule="auto"/>
              <w:contextualSpacing/>
              <w:jc w:val="center"/>
              <w:rPr>
                <w:rFonts w:ascii="Calibri" w:eastAsia="Times New Roman" w:hAnsi="Calibri" w:cs="Times New Roman"/>
                <w:sz w:val="20"/>
                <w:szCs w:val="20"/>
              </w:rPr>
            </w:pPr>
            <w:r w:rsidRPr="00636195">
              <w:rPr>
                <w:rFonts w:ascii="Calibri" w:eastAsia="Times New Roman" w:hAnsi="Calibri" w:cs="Times New Roman"/>
                <w:sz w:val="20"/>
                <w:szCs w:val="20"/>
              </w:rPr>
              <w:t>-1.4%</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636195" w:rsidRPr="00636195" w:rsidRDefault="00636195" w:rsidP="00636195">
            <w:pPr>
              <w:spacing w:after="0" w:line="240" w:lineRule="auto"/>
              <w:contextualSpacing/>
              <w:jc w:val="center"/>
              <w:rPr>
                <w:rFonts w:ascii="Calibri" w:eastAsia="Times New Roman" w:hAnsi="Calibri" w:cs="Times New Roman"/>
                <w:sz w:val="20"/>
                <w:szCs w:val="20"/>
              </w:rPr>
            </w:pPr>
            <w:r w:rsidRPr="00636195">
              <w:rPr>
                <w:rFonts w:ascii="Calibri" w:eastAsia="Times New Roman" w:hAnsi="Calibri" w:cs="Times New Roman"/>
                <w:sz w:val="20"/>
                <w:szCs w:val="20"/>
              </w:rPr>
              <w:t>-1.8%</w:t>
            </w:r>
          </w:p>
        </w:tc>
      </w:tr>
      <w:tr w:rsidR="00636195" w:rsidRPr="00636195" w:rsidTr="00636195">
        <w:trPr>
          <w:trHeight w:val="255"/>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636195" w:rsidRPr="00636195" w:rsidRDefault="00636195" w:rsidP="00636195">
            <w:pPr>
              <w:spacing w:after="0" w:line="240" w:lineRule="auto"/>
              <w:contextualSpacing/>
              <w:rPr>
                <w:rFonts w:ascii="Calibri" w:eastAsia="Times New Roman" w:hAnsi="Calibri" w:cs="Times New Roman"/>
              </w:rPr>
            </w:pPr>
            <w:r w:rsidRPr="00636195">
              <w:rPr>
                <w:rFonts w:ascii="Calibri" w:eastAsia="Times New Roman" w:hAnsi="Calibri" w:cs="Times New Roman"/>
              </w:rPr>
              <w:t>Elektrik, Gaz, Buhar ve İklimlendirme Üretimi ve Dağıtımı</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636195" w:rsidRPr="00636195" w:rsidRDefault="00636195" w:rsidP="00636195">
            <w:pPr>
              <w:spacing w:after="0" w:line="240" w:lineRule="auto"/>
              <w:contextualSpacing/>
              <w:jc w:val="center"/>
              <w:rPr>
                <w:rFonts w:ascii="Calibri" w:eastAsia="Times New Roman" w:hAnsi="Calibri" w:cs="Times New Roman"/>
                <w:sz w:val="20"/>
                <w:szCs w:val="20"/>
              </w:rPr>
            </w:pPr>
            <w:r w:rsidRPr="00636195">
              <w:rPr>
                <w:rFonts w:ascii="Calibri" w:eastAsia="Times New Roman" w:hAnsi="Calibri" w:cs="Times New Roman"/>
                <w:sz w:val="20"/>
                <w:szCs w:val="20"/>
              </w:rPr>
              <w:t>1.1%</w:t>
            </w:r>
          </w:p>
        </w:tc>
        <w:tc>
          <w:tcPr>
            <w:tcW w:w="1701" w:type="dxa"/>
            <w:tcBorders>
              <w:top w:val="nil"/>
              <w:left w:val="nil"/>
              <w:bottom w:val="single" w:sz="8" w:space="0" w:color="auto"/>
              <w:right w:val="single" w:sz="8" w:space="0" w:color="auto"/>
            </w:tcBorders>
            <w:shd w:val="clear" w:color="auto" w:fill="auto"/>
            <w:noWrap/>
            <w:vAlign w:val="bottom"/>
            <w:hideMark/>
          </w:tcPr>
          <w:p w:rsidR="00636195" w:rsidRPr="00636195" w:rsidRDefault="00636195" w:rsidP="00636195">
            <w:pPr>
              <w:spacing w:after="0" w:line="240" w:lineRule="auto"/>
              <w:contextualSpacing/>
              <w:jc w:val="center"/>
              <w:rPr>
                <w:rFonts w:ascii="Calibri" w:eastAsia="Times New Roman" w:hAnsi="Calibri" w:cs="Times New Roman"/>
                <w:sz w:val="20"/>
                <w:szCs w:val="20"/>
              </w:rPr>
            </w:pPr>
            <w:r w:rsidRPr="00636195">
              <w:rPr>
                <w:rFonts w:ascii="Calibri" w:eastAsia="Times New Roman" w:hAnsi="Calibri" w:cs="Times New Roman"/>
                <w:sz w:val="20"/>
                <w:szCs w:val="20"/>
              </w:rPr>
              <w:t>2.9%</w:t>
            </w:r>
          </w:p>
        </w:tc>
      </w:tr>
      <w:tr w:rsidR="00636195" w:rsidRPr="00636195" w:rsidTr="00636195">
        <w:trPr>
          <w:trHeight w:val="255"/>
        </w:trPr>
        <w:tc>
          <w:tcPr>
            <w:tcW w:w="5260" w:type="dxa"/>
            <w:tcBorders>
              <w:top w:val="nil"/>
              <w:left w:val="single" w:sz="8" w:space="0" w:color="auto"/>
              <w:bottom w:val="single" w:sz="8" w:space="0" w:color="auto"/>
              <w:right w:val="single" w:sz="8" w:space="0" w:color="auto"/>
            </w:tcBorders>
            <w:shd w:val="clear" w:color="auto" w:fill="auto"/>
            <w:noWrap/>
            <w:vAlign w:val="bottom"/>
            <w:hideMark/>
          </w:tcPr>
          <w:p w:rsidR="00636195" w:rsidRPr="00636195" w:rsidRDefault="00636195" w:rsidP="00636195">
            <w:pPr>
              <w:spacing w:after="0" w:line="240" w:lineRule="auto"/>
              <w:contextualSpacing/>
              <w:rPr>
                <w:rFonts w:ascii="Calibri" w:eastAsia="Times New Roman" w:hAnsi="Calibri" w:cs="Times New Roman"/>
                <w:b/>
                <w:bCs/>
              </w:rPr>
            </w:pPr>
            <w:r w:rsidRPr="00636195">
              <w:rPr>
                <w:rFonts w:ascii="Calibri" w:eastAsia="Times New Roman" w:hAnsi="Calibri" w:cs="Times New Roman"/>
                <w:b/>
                <w:bCs/>
              </w:rPr>
              <w:t>TOPLAM</w:t>
            </w:r>
          </w:p>
        </w:tc>
        <w:tc>
          <w:tcPr>
            <w:tcW w:w="1843" w:type="dxa"/>
            <w:tcBorders>
              <w:top w:val="nil"/>
              <w:left w:val="nil"/>
              <w:bottom w:val="single" w:sz="8" w:space="0" w:color="auto"/>
              <w:right w:val="single" w:sz="8" w:space="0" w:color="auto"/>
            </w:tcBorders>
            <w:shd w:val="clear" w:color="auto" w:fill="auto"/>
            <w:noWrap/>
            <w:vAlign w:val="center"/>
            <w:hideMark/>
          </w:tcPr>
          <w:p w:rsidR="00636195" w:rsidRPr="00636195" w:rsidRDefault="00636195" w:rsidP="00636195">
            <w:pPr>
              <w:spacing w:after="0" w:line="240" w:lineRule="auto"/>
              <w:contextualSpacing/>
              <w:jc w:val="center"/>
              <w:rPr>
                <w:rFonts w:ascii="Calibri" w:eastAsia="Times New Roman" w:hAnsi="Calibri" w:cs="Times New Roman"/>
                <w:b/>
                <w:bCs/>
              </w:rPr>
            </w:pPr>
            <w:r w:rsidRPr="00636195">
              <w:rPr>
                <w:rFonts w:ascii="Calibri" w:eastAsia="Times New Roman" w:hAnsi="Calibri" w:cs="Times New Roman"/>
                <w:b/>
                <w:bCs/>
              </w:rPr>
              <w:t>-1.4%</w:t>
            </w:r>
          </w:p>
        </w:tc>
        <w:tc>
          <w:tcPr>
            <w:tcW w:w="1701" w:type="dxa"/>
            <w:tcBorders>
              <w:top w:val="nil"/>
              <w:left w:val="nil"/>
              <w:bottom w:val="single" w:sz="8" w:space="0" w:color="auto"/>
              <w:right w:val="single" w:sz="8" w:space="0" w:color="auto"/>
            </w:tcBorders>
            <w:shd w:val="clear" w:color="auto" w:fill="auto"/>
            <w:noWrap/>
            <w:vAlign w:val="center"/>
            <w:hideMark/>
          </w:tcPr>
          <w:p w:rsidR="00636195" w:rsidRPr="00636195" w:rsidRDefault="00636195" w:rsidP="00636195">
            <w:pPr>
              <w:spacing w:after="0" w:line="240" w:lineRule="auto"/>
              <w:contextualSpacing/>
              <w:jc w:val="center"/>
              <w:rPr>
                <w:rFonts w:ascii="Calibri" w:eastAsia="Times New Roman" w:hAnsi="Calibri" w:cs="Times New Roman"/>
                <w:b/>
                <w:bCs/>
              </w:rPr>
            </w:pPr>
            <w:r w:rsidRPr="00636195">
              <w:rPr>
                <w:rFonts w:ascii="Calibri" w:eastAsia="Times New Roman" w:hAnsi="Calibri" w:cs="Times New Roman"/>
                <w:b/>
                <w:bCs/>
              </w:rPr>
              <w:t>-1.6%</w:t>
            </w:r>
          </w:p>
        </w:tc>
      </w:tr>
    </w:tbl>
    <w:p w:rsidR="007554B2" w:rsidRPr="001273B1" w:rsidRDefault="007554B2" w:rsidP="001273B1">
      <w:pPr>
        <w:spacing w:after="0" w:line="240" w:lineRule="auto"/>
        <w:contextualSpacing/>
        <w:jc w:val="both"/>
        <w:outlineLvl w:val="1"/>
        <w:rPr>
          <w:rFonts w:eastAsia="Times New Roman" w:cs="Times New Roman"/>
          <w:bCs/>
          <w:kern w:val="36"/>
          <w:sz w:val="18"/>
          <w:szCs w:val="24"/>
        </w:rPr>
      </w:pPr>
      <w:r>
        <w:rPr>
          <w:rFonts w:eastAsia="Times New Roman" w:cs="Times New Roman"/>
          <w:bCs/>
          <w:kern w:val="36"/>
          <w:sz w:val="18"/>
          <w:szCs w:val="24"/>
        </w:rPr>
        <w:t>K</w:t>
      </w:r>
      <w:r w:rsidRPr="007554B2">
        <w:rPr>
          <w:rFonts w:eastAsia="Times New Roman" w:cs="Times New Roman"/>
          <w:bCs/>
          <w:kern w:val="36"/>
          <w:sz w:val="18"/>
          <w:szCs w:val="24"/>
        </w:rPr>
        <w:t xml:space="preserve">aynak: </w:t>
      </w:r>
      <w:proofErr w:type="spellStart"/>
      <w:r w:rsidRPr="007554B2">
        <w:rPr>
          <w:rFonts w:eastAsia="Times New Roman" w:cs="Times New Roman"/>
          <w:bCs/>
          <w:kern w:val="36"/>
          <w:sz w:val="18"/>
          <w:szCs w:val="24"/>
        </w:rPr>
        <w:t>Tüik</w:t>
      </w:r>
      <w:proofErr w:type="spellEnd"/>
    </w:p>
    <w:p w:rsidR="007554B2" w:rsidRDefault="007554B2" w:rsidP="00FE2D1A">
      <w:pPr>
        <w:jc w:val="both"/>
      </w:pPr>
    </w:p>
    <w:sectPr w:rsidR="007554B2" w:rsidSect="00432DF5">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A3A" w:rsidRDefault="00723A3A" w:rsidP="00C04441">
      <w:pPr>
        <w:spacing w:after="0" w:line="240" w:lineRule="auto"/>
      </w:pPr>
      <w:r>
        <w:separator/>
      </w:r>
    </w:p>
  </w:endnote>
  <w:endnote w:type="continuationSeparator" w:id="0">
    <w:p w:rsidR="00723A3A" w:rsidRDefault="00723A3A" w:rsidP="00C0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74264"/>
      <w:docPartObj>
        <w:docPartGallery w:val="Page Numbers (Bottom of Page)"/>
        <w:docPartUnique/>
      </w:docPartObj>
    </w:sdtPr>
    <w:sdtEndPr/>
    <w:sdtContent>
      <w:p w:rsidR="002A4698" w:rsidRDefault="002A4698">
        <w:pPr>
          <w:pStyle w:val="Altbilgi"/>
          <w:jc w:val="right"/>
        </w:pPr>
        <w:r>
          <w:fldChar w:fldCharType="begin"/>
        </w:r>
        <w:r>
          <w:instrText xml:space="preserve"> PAGE   \* MERGEFORMAT </w:instrText>
        </w:r>
        <w:r>
          <w:fldChar w:fldCharType="separate"/>
        </w:r>
        <w:r w:rsidR="00153205">
          <w:rPr>
            <w:noProof/>
          </w:rPr>
          <w:t>2</w:t>
        </w:r>
        <w:r>
          <w:rPr>
            <w:noProof/>
          </w:rPr>
          <w:fldChar w:fldCharType="end"/>
        </w:r>
      </w:p>
    </w:sdtContent>
  </w:sdt>
  <w:p w:rsidR="002A4698" w:rsidRDefault="002A46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A3A" w:rsidRDefault="00723A3A" w:rsidP="00C04441">
      <w:pPr>
        <w:spacing w:after="0" w:line="240" w:lineRule="auto"/>
      </w:pPr>
      <w:r>
        <w:separator/>
      </w:r>
    </w:p>
  </w:footnote>
  <w:footnote w:type="continuationSeparator" w:id="0">
    <w:p w:rsidR="00723A3A" w:rsidRDefault="00723A3A" w:rsidP="00C04441">
      <w:pPr>
        <w:spacing w:after="0" w:line="240" w:lineRule="auto"/>
      </w:pPr>
      <w:r>
        <w:continuationSeparator/>
      </w:r>
    </w:p>
  </w:footnote>
  <w:footnote w:id="1">
    <w:p w:rsidR="002A4698" w:rsidRDefault="002A4698" w:rsidP="00522A6C">
      <w:pPr>
        <w:pStyle w:val="DipnotMetni"/>
      </w:pPr>
      <w:r>
        <w:rPr>
          <w:rStyle w:val="DipnotBavurusu"/>
        </w:rPr>
        <w:footnoteRef/>
      </w:r>
      <w:r>
        <w:t xml:space="preserve"> Bültende mevsim ve takvim etkilerinden arındırılmış veriler kullanılmaktadır.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05AF0"/>
    <w:rsid w:val="000376B0"/>
    <w:rsid w:val="00050388"/>
    <w:rsid w:val="00054542"/>
    <w:rsid w:val="000701FD"/>
    <w:rsid w:val="000B7EA9"/>
    <w:rsid w:val="000D18BE"/>
    <w:rsid w:val="000D7AFB"/>
    <w:rsid w:val="000F7730"/>
    <w:rsid w:val="00112C0F"/>
    <w:rsid w:val="001243A0"/>
    <w:rsid w:val="001273B1"/>
    <w:rsid w:val="00153205"/>
    <w:rsid w:val="00160C8F"/>
    <w:rsid w:val="001E11A2"/>
    <w:rsid w:val="001E5A63"/>
    <w:rsid w:val="001F7633"/>
    <w:rsid w:val="00215555"/>
    <w:rsid w:val="0022515A"/>
    <w:rsid w:val="00233BD5"/>
    <w:rsid w:val="00236934"/>
    <w:rsid w:val="00253E29"/>
    <w:rsid w:val="00264515"/>
    <w:rsid w:val="002828B1"/>
    <w:rsid w:val="002A4698"/>
    <w:rsid w:val="002B2CC6"/>
    <w:rsid w:val="002B53E4"/>
    <w:rsid w:val="002D3E19"/>
    <w:rsid w:val="002E2DA0"/>
    <w:rsid w:val="00312018"/>
    <w:rsid w:val="003144CC"/>
    <w:rsid w:val="0034114A"/>
    <w:rsid w:val="00347FB8"/>
    <w:rsid w:val="00351561"/>
    <w:rsid w:val="00353D82"/>
    <w:rsid w:val="00355562"/>
    <w:rsid w:val="00357954"/>
    <w:rsid w:val="003641B3"/>
    <w:rsid w:val="003A57CB"/>
    <w:rsid w:val="003C6277"/>
    <w:rsid w:val="003E6C6C"/>
    <w:rsid w:val="003F2715"/>
    <w:rsid w:val="00424CC0"/>
    <w:rsid w:val="00432DF5"/>
    <w:rsid w:val="0043515F"/>
    <w:rsid w:val="00454BC0"/>
    <w:rsid w:val="00461267"/>
    <w:rsid w:val="00472136"/>
    <w:rsid w:val="004746B3"/>
    <w:rsid w:val="004C773D"/>
    <w:rsid w:val="004D42CE"/>
    <w:rsid w:val="004D49B1"/>
    <w:rsid w:val="004D5C8C"/>
    <w:rsid w:val="00510F48"/>
    <w:rsid w:val="00517288"/>
    <w:rsid w:val="00522A6C"/>
    <w:rsid w:val="005405F5"/>
    <w:rsid w:val="00544D61"/>
    <w:rsid w:val="00561094"/>
    <w:rsid w:val="00574C38"/>
    <w:rsid w:val="005A464C"/>
    <w:rsid w:val="005C53F8"/>
    <w:rsid w:val="006020BD"/>
    <w:rsid w:val="00605C81"/>
    <w:rsid w:val="00636195"/>
    <w:rsid w:val="00654C28"/>
    <w:rsid w:val="00677B0D"/>
    <w:rsid w:val="006B0438"/>
    <w:rsid w:val="006D41B5"/>
    <w:rsid w:val="0070186C"/>
    <w:rsid w:val="00723A3A"/>
    <w:rsid w:val="00731B2B"/>
    <w:rsid w:val="007330A1"/>
    <w:rsid w:val="007402FF"/>
    <w:rsid w:val="007441EB"/>
    <w:rsid w:val="007554B2"/>
    <w:rsid w:val="00756492"/>
    <w:rsid w:val="00763689"/>
    <w:rsid w:val="007736BE"/>
    <w:rsid w:val="007B58E6"/>
    <w:rsid w:val="008024AC"/>
    <w:rsid w:val="008A575D"/>
    <w:rsid w:val="008C2C15"/>
    <w:rsid w:val="008C7F9E"/>
    <w:rsid w:val="008D1077"/>
    <w:rsid w:val="008E7F7A"/>
    <w:rsid w:val="00907E0D"/>
    <w:rsid w:val="00923FD3"/>
    <w:rsid w:val="00935B34"/>
    <w:rsid w:val="0097326C"/>
    <w:rsid w:val="009A6E86"/>
    <w:rsid w:val="009F0A83"/>
    <w:rsid w:val="009F54F1"/>
    <w:rsid w:val="009F57D6"/>
    <w:rsid w:val="00A372D5"/>
    <w:rsid w:val="00A43C04"/>
    <w:rsid w:val="00A705F6"/>
    <w:rsid w:val="00A77365"/>
    <w:rsid w:val="00AA3994"/>
    <w:rsid w:val="00AD2065"/>
    <w:rsid w:val="00AE1B17"/>
    <w:rsid w:val="00B21CDE"/>
    <w:rsid w:val="00B21E05"/>
    <w:rsid w:val="00B8514B"/>
    <w:rsid w:val="00B94EA9"/>
    <w:rsid w:val="00BA2669"/>
    <w:rsid w:val="00BC294E"/>
    <w:rsid w:val="00BC5F10"/>
    <w:rsid w:val="00C026C1"/>
    <w:rsid w:val="00C04441"/>
    <w:rsid w:val="00C144CC"/>
    <w:rsid w:val="00C21D8B"/>
    <w:rsid w:val="00C50E17"/>
    <w:rsid w:val="00C5430C"/>
    <w:rsid w:val="00C90F99"/>
    <w:rsid w:val="00C97AFA"/>
    <w:rsid w:val="00CB4E90"/>
    <w:rsid w:val="00CC7D5F"/>
    <w:rsid w:val="00D2299D"/>
    <w:rsid w:val="00D23355"/>
    <w:rsid w:val="00D8766B"/>
    <w:rsid w:val="00DB1389"/>
    <w:rsid w:val="00DC5FDC"/>
    <w:rsid w:val="00DE04BA"/>
    <w:rsid w:val="00DE7934"/>
    <w:rsid w:val="00DF0BA4"/>
    <w:rsid w:val="00EC082E"/>
    <w:rsid w:val="00EC4AA2"/>
    <w:rsid w:val="00ED0C91"/>
    <w:rsid w:val="00EE559E"/>
    <w:rsid w:val="00EF4E45"/>
    <w:rsid w:val="00F061D6"/>
    <w:rsid w:val="00F552A9"/>
    <w:rsid w:val="00F677CE"/>
    <w:rsid w:val="00FB59D2"/>
    <w:rsid w:val="00FD0F6A"/>
    <w:rsid w:val="00FD6CA4"/>
    <w:rsid w:val="00FE2D1A"/>
    <w:rsid w:val="00FF1C3E"/>
    <w:rsid w:val="00FF67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E3ACA-DB06-4980-B3F6-DE158408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C0444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04441"/>
    <w:rPr>
      <w:rFonts w:eastAsiaTheme="minorEastAsia"/>
      <w:sz w:val="20"/>
      <w:szCs w:val="20"/>
      <w:lang w:val="tr-TR" w:eastAsia="tr-TR"/>
    </w:rPr>
  </w:style>
  <w:style w:type="character" w:styleId="DipnotBavurusu">
    <w:name w:val="footnote reference"/>
    <w:basedOn w:val="VarsaylanParagrafYazTipi"/>
    <w:uiPriority w:val="99"/>
    <w:semiHidden/>
    <w:unhideWhenUsed/>
    <w:rsid w:val="00C04441"/>
    <w:rPr>
      <w:vertAlign w:val="superscript"/>
    </w:rPr>
  </w:style>
  <w:style w:type="table" w:customStyle="1" w:styleId="AkKlavuz-Vurgu11">
    <w:name w:val="Açık Kılavuz - Vurgu 11"/>
    <w:basedOn w:val="NormalTablo"/>
    <w:uiPriority w:val="62"/>
    <w:rsid w:val="00FD0F6A"/>
    <w:pPr>
      <w:spacing w:after="0" w:line="240" w:lineRule="auto"/>
    </w:pPr>
    <w:rPr>
      <w:rFonts w:eastAsiaTheme="minorEastAsia"/>
      <w:lang w:val="tr-TR"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ltbilgi">
    <w:name w:val="footer"/>
    <w:basedOn w:val="Normal"/>
    <w:link w:val="AltbilgiChar"/>
    <w:uiPriority w:val="99"/>
    <w:unhideWhenUsed/>
    <w:rsid w:val="008E7F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7F7A"/>
    <w:rPr>
      <w:rFonts w:eastAsiaTheme="minorEastAsia"/>
      <w:lang w:val="tr-TR" w:eastAsia="tr-TR"/>
    </w:rPr>
  </w:style>
  <w:style w:type="character" w:styleId="Vurgu">
    <w:name w:val="Emphasis"/>
    <w:basedOn w:val="VarsaylanParagrafYazTipi"/>
    <w:uiPriority w:val="20"/>
    <w:qFormat/>
    <w:rsid w:val="001273B1"/>
    <w:rPr>
      <w:i/>
      <w:iCs/>
    </w:rPr>
  </w:style>
  <w:style w:type="character" w:customStyle="1" w:styleId="apple-converted-space">
    <w:name w:val="apple-converted-space"/>
    <w:basedOn w:val="VarsaylanParagrafYazTipi"/>
    <w:rsid w:val="00127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97386">
      <w:bodyDiv w:val="1"/>
      <w:marLeft w:val="0"/>
      <w:marRight w:val="0"/>
      <w:marTop w:val="0"/>
      <w:marBottom w:val="0"/>
      <w:divBdr>
        <w:top w:val="none" w:sz="0" w:space="0" w:color="auto"/>
        <w:left w:val="none" w:sz="0" w:space="0" w:color="auto"/>
        <w:bottom w:val="none" w:sz="0" w:space="0" w:color="auto"/>
        <w:right w:val="none" w:sz="0" w:space="0" w:color="auto"/>
      </w:divBdr>
    </w:div>
    <w:div w:id="311375104">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415784745">
      <w:bodyDiv w:val="1"/>
      <w:marLeft w:val="0"/>
      <w:marRight w:val="0"/>
      <w:marTop w:val="0"/>
      <w:marBottom w:val="0"/>
      <w:divBdr>
        <w:top w:val="none" w:sz="0" w:space="0" w:color="auto"/>
        <w:left w:val="none" w:sz="0" w:space="0" w:color="auto"/>
        <w:bottom w:val="none" w:sz="0" w:space="0" w:color="auto"/>
        <w:right w:val="none" w:sz="0" w:space="0" w:color="auto"/>
      </w:divBdr>
    </w:div>
    <w:div w:id="618495216">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118335004">
      <w:bodyDiv w:val="1"/>
      <w:marLeft w:val="0"/>
      <w:marRight w:val="0"/>
      <w:marTop w:val="0"/>
      <w:marBottom w:val="0"/>
      <w:divBdr>
        <w:top w:val="none" w:sz="0" w:space="0" w:color="auto"/>
        <w:left w:val="none" w:sz="0" w:space="0" w:color="auto"/>
        <w:bottom w:val="none" w:sz="0" w:space="0" w:color="auto"/>
        <w:right w:val="none" w:sz="0" w:space="0" w:color="auto"/>
      </w:divBdr>
    </w:div>
    <w:div w:id="1284731585">
      <w:bodyDiv w:val="1"/>
      <w:marLeft w:val="0"/>
      <w:marRight w:val="0"/>
      <w:marTop w:val="0"/>
      <w:marBottom w:val="0"/>
      <w:divBdr>
        <w:top w:val="none" w:sz="0" w:space="0" w:color="auto"/>
        <w:left w:val="none" w:sz="0" w:space="0" w:color="auto"/>
        <w:bottom w:val="none" w:sz="0" w:space="0" w:color="auto"/>
        <w:right w:val="none" w:sz="0" w:space="0" w:color="auto"/>
      </w:divBdr>
    </w:div>
    <w:div w:id="1289505781">
      <w:bodyDiv w:val="1"/>
      <w:marLeft w:val="0"/>
      <w:marRight w:val="0"/>
      <w:marTop w:val="0"/>
      <w:marBottom w:val="0"/>
      <w:divBdr>
        <w:top w:val="none" w:sz="0" w:space="0" w:color="auto"/>
        <w:left w:val="none" w:sz="0" w:space="0" w:color="auto"/>
        <w:bottom w:val="none" w:sz="0" w:space="0" w:color="auto"/>
        <w:right w:val="none" w:sz="0" w:space="0" w:color="auto"/>
      </w:divBdr>
    </w:div>
    <w:div w:id="1378161901">
      <w:bodyDiv w:val="1"/>
      <w:marLeft w:val="0"/>
      <w:marRight w:val="0"/>
      <w:marTop w:val="0"/>
      <w:marBottom w:val="0"/>
      <w:divBdr>
        <w:top w:val="none" w:sz="0" w:space="0" w:color="auto"/>
        <w:left w:val="none" w:sz="0" w:space="0" w:color="auto"/>
        <w:bottom w:val="none" w:sz="0" w:space="0" w:color="auto"/>
        <w:right w:val="none" w:sz="0" w:space="0" w:color="auto"/>
      </w:divBdr>
    </w:div>
    <w:div w:id="1690646173">
      <w:bodyDiv w:val="1"/>
      <w:marLeft w:val="0"/>
      <w:marRight w:val="0"/>
      <w:marTop w:val="0"/>
      <w:marBottom w:val="0"/>
      <w:divBdr>
        <w:top w:val="none" w:sz="0" w:space="0" w:color="auto"/>
        <w:left w:val="none" w:sz="0" w:space="0" w:color="auto"/>
        <w:bottom w:val="none" w:sz="0" w:space="0" w:color="auto"/>
        <w:right w:val="none" w:sz="0" w:space="0" w:color="auto"/>
      </w:divBdr>
    </w:div>
    <w:div w:id="1716857566">
      <w:bodyDiv w:val="1"/>
      <w:marLeft w:val="0"/>
      <w:marRight w:val="0"/>
      <w:marTop w:val="0"/>
      <w:marBottom w:val="0"/>
      <w:divBdr>
        <w:top w:val="none" w:sz="0" w:space="0" w:color="auto"/>
        <w:left w:val="none" w:sz="0" w:space="0" w:color="auto"/>
        <w:bottom w:val="none" w:sz="0" w:space="0" w:color="auto"/>
        <w:right w:val="none" w:sz="0" w:space="0" w:color="auto"/>
      </w:divBdr>
    </w:div>
    <w:div w:id="1922711201">
      <w:bodyDiv w:val="1"/>
      <w:marLeft w:val="0"/>
      <w:marRight w:val="0"/>
      <w:marTop w:val="0"/>
      <w:marBottom w:val="0"/>
      <w:divBdr>
        <w:top w:val="none" w:sz="0" w:space="0" w:color="auto"/>
        <w:left w:val="none" w:sz="0" w:space="0" w:color="auto"/>
        <w:bottom w:val="none" w:sz="0" w:space="0" w:color="auto"/>
        <w:right w:val="none" w:sz="0" w:space="0" w:color="auto"/>
      </w:divBdr>
    </w:div>
    <w:div w:id="19317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99;&#305;nar\Desktop\Yeni%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20ZEN\Downloads\841228133347727958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20ZEN\Downloads\841228133347727958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numRef>
              <c:f>Sheet1!$A$1:$A$6</c:f>
              <c:numCache>
                <c:formatCode>General</c:formatCode>
                <c:ptCount val="6"/>
                <c:pt idx="0">
                  <c:v>2010</c:v>
                </c:pt>
                <c:pt idx="1">
                  <c:v>2011</c:v>
                </c:pt>
                <c:pt idx="2">
                  <c:v>2012</c:v>
                </c:pt>
                <c:pt idx="3">
                  <c:v>2013</c:v>
                </c:pt>
                <c:pt idx="4">
                  <c:v>2014</c:v>
                </c:pt>
                <c:pt idx="5">
                  <c:v>2015</c:v>
                </c:pt>
              </c:numCache>
            </c:numRef>
          </c:cat>
          <c:val>
            <c:numRef>
              <c:f>Sheet1!$C$1:$C$6</c:f>
              <c:numCache>
                <c:formatCode>General</c:formatCode>
                <c:ptCount val="6"/>
                <c:pt idx="0">
                  <c:v>100</c:v>
                </c:pt>
                <c:pt idx="1">
                  <c:v>110.1</c:v>
                </c:pt>
                <c:pt idx="2">
                  <c:v>112.9</c:v>
                </c:pt>
                <c:pt idx="3">
                  <c:v>116.3</c:v>
                </c:pt>
                <c:pt idx="4">
                  <c:v>120.5</c:v>
                </c:pt>
                <c:pt idx="5">
                  <c:v>119.2</c:v>
                </c:pt>
              </c:numCache>
            </c:numRef>
          </c:val>
          <c:smooth val="0"/>
        </c:ser>
        <c:dLbls>
          <c:showLegendKey val="0"/>
          <c:showVal val="0"/>
          <c:showCatName val="0"/>
          <c:showSerName val="0"/>
          <c:showPercent val="0"/>
          <c:showBubbleSize val="0"/>
        </c:dLbls>
        <c:marker val="1"/>
        <c:smooth val="0"/>
        <c:axId val="242410080"/>
        <c:axId val="242409296"/>
      </c:lineChart>
      <c:catAx>
        <c:axId val="242410080"/>
        <c:scaling>
          <c:orientation val="minMax"/>
        </c:scaling>
        <c:delete val="0"/>
        <c:axPos val="b"/>
        <c:numFmt formatCode="General" sourceLinked="1"/>
        <c:majorTickMark val="out"/>
        <c:minorTickMark val="none"/>
        <c:tickLblPos val="nextTo"/>
        <c:crossAx val="242409296"/>
        <c:crosses val="autoZero"/>
        <c:auto val="1"/>
        <c:lblAlgn val="ctr"/>
        <c:lblOffset val="100"/>
        <c:noMultiLvlLbl val="0"/>
      </c:catAx>
      <c:valAx>
        <c:axId val="242409296"/>
        <c:scaling>
          <c:orientation val="minMax"/>
        </c:scaling>
        <c:delete val="0"/>
        <c:axPos val="l"/>
        <c:majorGridlines/>
        <c:numFmt formatCode="General" sourceLinked="1"/>
        <c:majorTickMark val="out"/>
        <c:minorTickMark val="none"/>
        <c:tickLblPos val="nextTo"/>
        <c:crossAx val="2424100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88468862206716E-2"/>
          <c:y val="5.1400554097404488E-2"/>
          <c:w val="0.9097723364516741"/>
          <c:h val="0.73447725284339471"/>
        </c:manualLayout>
      </c:layout>
      <c:barChart>
        <c:barDir val="col"/>
        <c:grouping val="clustered"/>
        <c:varyColors val="0"/>
        <c:ser>
          <c:idx val="0"/>
          <c:order val="0"/>
          <c:tx>
            <c:strRef>
              <c:f>Sayfa1!$C$3</c:f>
              <c:strCache>
                <c:ptCount val="1"/>
                <c:pt idx="0">
                  <c:v>2014</c:v>
                </c:pt>
              </c:strCache>
            </c:strRef>
          </c:tx>
          <c:invertIfNegative val="0"/>
          <c:dLbls>
            <c:dLbl>
              <c:idx val="8"/>
              <c:tx>
                <c:rich>
                  <a:bodyPr/>
                  <a:lstStyle/>
                  <a:p>
                    <a:pPr>
                      <a:defRPr b="1">
                        <a:solidFill>
                          <a:schemeClr val="bg1"/>
                        </a:solidFill>
                      </a:defRPr>
                    </a:pPr>
                    <a:r>
                      <a:rPr lang="en-US">
                        <a:solidFill>
                          <a:sysClr val="windowText" lastClr="000000"/>
                        </a:solidFill>
                      </a:rPr>
                      <a:t>122.7</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Sayfa1!$D$2:$O$2</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Sayfa1!$D$3:$O$3</c:f>
              <c:numCache>
                <c:formatCode>0.0</c:formatCode>
                <c:ptCount val="12"/>
                <c:pt idx="0">
                  <c:v>121.10166583043841</c:v>
                </c:pt>
                <c:pt idx="1">
                  <c:v>120.73164705791369</c:v>
                </c:pt>
                <c:pt idx="2">
                  <c:v>119.78770984938463</c:v>
                </c:pt>
                <c:pt idx="3">
                  <c:v>120.93763461655365</c:v>
                </c:pt>
                <c:pt idx="4">
                  <c:v>118.83697846178322</c:v>
                </c:pt>
                <c:pt idx="5">
                  <c:v>119.40172609542256</c:v>
                </c:pt>
                <c:pt idx="6">
                  <c:v>121.56700605661466</c:v>
                </c:pt>
                <c:pt idx="7">
                  <c:v>119.42542186882233</c:v>
                </c:pt>
                <c:pt idx="8">
                  <c:v>122.6967528647462</c:v>
                </c:pt>
                <c:pt idx="9">
                  <c:v>120.2746728234314</c:v>
                </c:pt>
                <c:pt idx="10">
                  <c:v>120.04427875394016</c:v>
                </c:pt>
                <c:pt idx="11">
                  <c:v>120.85347627262824</c:v>
                </c:pt>
              </c:numCache>
            </c:numRef>
          </c:val>
        </c:ser>
        <c:ser>
          <c:idx val="1"/>
          <c:order val="1"/>
          <c:tx>
            <c:strRef>
              <c:f>Sayfa1!$C$4</c:f>
              <c:strCache>
                <c:ptCount val="1"/>
                <c:pt idx="0">
                  <c:v>2015</c:v>
                </c:pt>
              </c:strCache>
            </c:strRef>
          </c:tx>
          <c:invertIfNegative val="0"/>
          <c:dLbls>
            <c:dLbl>
              <c:idx val="0"/>
              <c:layout>
                <c:manualLayout>
                  <c:x val="1.9444444444444445E-2"/>
                  <c:y val="4.6296296296296328E-3"/>
                </c:manualLayout>
              </c:layout>
              <c:spPr/>
              <c:txPr>
                <a:bodyPr/>
                <a:lstStyle/>
                <a:p>
                  <a:pPr>
                    <a:defRPr b="1"/>
                  </a:pPr>
                  <a:endParaRPr lang="tr-T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Sayfa1!$D$2:$O$2</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Sayfa1!$D$4:$O$4</c:f>
              <c:numCache>
                <c:formatCode>General</c:formatCode>
                <c:ptCount val="12"/>
                <c:pt idx="0" formatCode="0.0">
                  <c:v>119.15057417175417</c:v>
                </c:pt>
              </c:numCache>
            </c:numRef>
          </c:val>
        </c:ser>
        <c:dLbls>
          <c:showLegendKey val="0"/>
          <c:showVal val="0"/>
          <c:showCatName val="0"/>
          <c:showSerName val="0"/>
          <c:showPercent val="0"/>
          <c:showBubbleSize val="0"/>
        </c:dLbls>
        <c:gapWidth val="150"/>
        <c:axId val="209637552"/>
        <c:axId val="209638336"/>
      </c:barChart>
      <c:catAx>
        <c:axId val="209637552"/>
        <c:scaling>
          <c:orientation val="minMax"/>
        </c:scaling>
        <c:delete val="0"/>
        <c:axPos val="b"/>
        <c:numFmt formatCode="General" sourceLinked="0"/>
        <c:majorTickMark val="out"/>
        <c:minorTickMark val="none"/>
        <c:tickLblPos val="nextTo"/>
        <c:txPr>
          <a:bodyPr/>
          <a:lstStyle/>
          <a:p>
            <a:pPr>
              <a:defRPr b="1"/>
            </a:pPr>
            <a:endParaRPr lang="tr-TR"/>
          </a:p>
        </c:txPr>
        <c:crossAx val="209638336"/>
        <c:crosses val="autoZero"/>
        <c:auto val="1"/>
        <c:lblAlgn val="ctr"/>
        <c:lblOffset val="100"/>
        <c:noMultiLvlLbl val="0"/>
      </c:catAx>
      <c:valAx>
        <c:axId val="209638336"/>
        <c:scaling>
          <c:orientation val="minMax"/>
        </c:scaling>
        <c:delete val="0"/>
        <c:axPos val="l"/>
        <c:majorGridlines>
          <c:spPr>
            <a:ln>
              <a:solidFill>
                <a:schemeClr val="bg1"/>
              </a:solidFill>
            </a:ln>
          </c:spPr>
        </c:majorGridlines>
        <c:numFmt formatCode="0.0" sourceLinked="1"/>
        <c:majorTickMark val="out"/>
        <c:minorTickMark val="none"/>
        <c:tickLblPos val="nextTo"/>
        <c:crossAx val="209637552"/>
        <c:crosses val="autoZero"/>
        <c:crossBetween val="between"/>
      </c:valAx>
    </c:plotArea>
    <c:legend>
      <c:legendPos val="r"/>
      <c:layout>
        <c:manualLayout>
          <c:xMode val="edge"/>
          <c:yMode val="edge"/>
          <c:x val="0.29803964159652463"/>
          <c:y val="0.9116531787693205"/>
          <c:w val="0.37829931133216504"/>
          <c:h val="8.4101049868766417E-2"/>
        </c:manualLayout>
      </c:layout>
      <c:overlay val="0"/>
      <c:txPr>
        <a:bodyPr/>
        <a:lstStyle/>
        <a:p>
          <a:pPr>
            <a:defRPr b="1"/>
          </a:pPr>
          <a:endParaRPr lang="tr-TR"/>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27515566402156"/>
          <c:y val="6.9919072615923034E-2"/>
          <c:w val="0.87113485083370479"/>
          <c:h val="0.80484179060950811"/>
        </c:manualLayout>
      </c:layout>
      <c:lineChart>
        <c:grouping val="standard"/>
        <c:varyColors val="0"/>
        <c:ser>
          <c:idx val="0"/>
          <c:order val="0"/>
          <c:tx>
            <c:strRef>
              <c:f>Sayfa1!$F$8</c:f>
              <c:strCache>
                <c:ptCount val="1"/>
                <c:pt idx="0">
                  <c:v>k</c:v>
                </c:pt>
              </c:strCache>
            </c:strRef>
          </c:tx>
          <c:marker>
            <c:symbol val="none"/>
          </c:marker>
          <c:dLbls>
            <c:dLbl>
              <c:idx val="2"/>
              <c:layout>
                <c:manualLayout>
                  <c:x val="0"/>
                  <c:y val="-2.77777777777778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Sayfa1!$E$9:$E$12</c:f>
              <c:numCache>
                <c:formatCode>General</c:formatCode>
                <c:ptCount val="4"/>
                <c:pt idx="0">
                  <c:v>2012</c:v>
                </c:pt>
                <c:pt idx="1">
                  <c:v>2013</c:v>
                </c:pt>
                <c:pt idx="2">
                  <c:v>2014</c:v>
                </c:pt>
                <c:pt idx="3">
                  <c:v>2015</c:v>
                </c:pt>
              </c:numCache>
            </c:numRef>
          </c:cat>
          <c:val>
            <c:numRef>
              <c:f>Sayfa1!$F$9:$F$12</c:f>
              <c:numCache>
                <c:formatCode>0.0</c:formatCode>
                <c:ptCount val="4"/>
                <c:pt idx="0">
                  <c:v>111.27736225176581</c:v>
                </c:pt>
                <c:pt idx="1">
                  <c:v>112.82987171112153</c:v>
                </c:pt>
                <c:pt idx="2">
                  <c:v>121.10166583043841</c:v>
                </c:pt>
                <c:pt idx="3">
                  <c:v>119.15057417175417</c:v>
                </c:pt>
              </c:numCache>
            </c:numRef>
          </c:val>
          <c:smooth val="0"/>
        </c:ser>
        <c:dLbls>
          <c:showLegendKey val="0"/>
          <c:showVal val="0"/>
          <c:showCatName val="0"/>
          <c:showSerName val="0"/>
          <c:showPercent val="0"/>
          <c:showBubbleSize val="0"/>
        </c:dLbls>
        <c:smooth val="0"/>
        <c:axId val="212065048"/>
        <c:axId val="212062304"/>
      </c:lineChart>
      <c:catAx>
        <c:axId val="212065048"/>
        <c:scaling>
          <c:orientation val="minMax"/>
        </c:scaling>
        <c:delete val="0"/>
        <c:axPos val="b"/>
        <c:numFmt formatCode="General" sourceLinked="1"/>
        <c:majorTickMark val="out"/>
        <c:minorTickMark val="none"/>
        <c:tickLblPos val="nextTo"/>
        <c:txPr>
          <a:bodyPr/>
          <a:lstStyle/>
          <a:p>
            <a:pPr>
              <a:defRPr b="1"/>
            </a:pPr>
            <a:endParaRPr lang="tr-TR"/>
          </a:p>
        </c:txPr>
        <c:crossAx val="212062304"/>
        <c:crosses val="autoZero"/>
        <c:auto val="1"/>
        <c:lblAlgn val="ctr"/>
        <c:lblOffset val="100"/>
        <c:noMultiLvlLbl val="0"/>
      </c:catAx>
      <c:valAx>
        <c:axId val="212062304"/>
        <c:scaling>
          <c:orientation val="minMax"/>
        </c:scaling>
        <c:delete val="0"/>
        <c:axPos val="l"/>
        <c:majorGridlines>
          <c:spPr>
            <a:ln>
              <a:solidFill>
                <a:sysClr val="window" lastClr="FFFFFF"/>
              </a:solidFill>
            </a:ln>
          </c:spPr>
        </c:majorGridlines>
        <c:numFmt formatCode="0.0" sourceLinked="1"/>
        <c:majorTickMark val="out"/>
        <c:minorTickMark val="none"/>
        <c:tickLblPos val="nextTo"/>
        <c:crossAx val="212065048"/>
        <c:crosses val="autoZero"/>
        <c:crossBetween val="between"/>
      </c:valAx>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01AA4-3F24-4DAD-A394-33F28FD0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3419</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Kosgeb</cp:lastModifiedBy>
  <cp:revision>5</cp:revision>
  <dcterms:created xsi:type="dcterms:W3CDTF">2015-03-13T06:30:00Z</dcterms:created>
  <dcterms:modified xsi:type="dcterms:W3CDTF">2015-03-13T07:52:00Z</dcterms:modified>
</cp:coreProperties>
</file>